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B9D06" w14:textId="6C3591C6" w:rsidR="00A461C6" w:rsidRPr="00A461C6" w:rsidRDefault="00A461C6" w:rsidP="00A461C6">
      <w:pPr>
        <w:spacing w:line="360" w:lineRule="auto"/>
        <w:jc w:val="center"/>
        <w:rPr>
          <w:rFonts w:ascii="Arial" w:hAnsi="Arial" w:cs="Arial"/>
          <w:b/>
          <w:bCs/>
          <w:color w:val="262626" w:themeColor="text1" w:themeTint="D9"/>
          <w:sz w:val="36"/>
          <w:szCs w:val="36"/>
          <w:u w:val="single"/>
        </w:rPr>
      </w:pPr>
      <w:r w:rsidRPr="00A461C6">
        <w:rPr>
          <w:rFonts w:ascii="Arial" w:hAnsi="Arial" w:cs="Arial"/>
          <w:b/>
          <w:bCs/>
          <w:color w:val="262626" w:themeColor="text1" w:themeTint="D9"/>
          <w:sz w:val="36"/>
          <w:szCs w:val="36"/>
          <w:u w:val="single"/>
          <w:lang w:val="fr-LU"/>
        </w:rPr>
        <w:t>RESULTATS ATTEINTS MARS 2023-FEV 2024</w:t>
      </w: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6"/>
        <w:gridCol w:w="2193"/>
        <w:gridCol w:w="1620"/>
        <w:gridCol w:w="1530"/>
        <w:gridCol w:w="1170"/>
        <w:gridCol w:w="1512"/>
        <w:gridCol w:w="5529"/>
      </w:tblGrid>
      <w:tr w:rsidR="00A461C6" w:rsidRPr="00D54936" w14:paraId="5FC57BE2" w14:textId="77777777" w:rsidTr="002D4074">
        <w:trPr>
          <w:trHeight w:val="825"/>
        </w:trPr>
        <w:tc>
          <w:tcPr>
            <w:tcW w:w="1756" w:type="dxa"/>
            <w:shd w:val="clear" w:color="auto" w:fill="FFCC99"/>
            <w:vAlign w:val="center"/>
            <w:hideMark/>
          </w:tcPr>
          <w:p w14:paraId="3083C2E0" w14:textId="77777777" w:rsidR="00A461C6" w:rsidRPr="00CD6272" w:rsidRDefault="00A461C6" w:rsidP="002D4074">
            <w:pPr>
              <w:spacing w:after="0" w:line="240" w:lineRule="auto"/>
              <w:rPr>
                <w:rFonts w:ascii="Arial" w:hAnsi="Arial" w:cs="Arial"/>
                <w:b/>
                <w:bCs/>
                <w:color w:val="262626" w:themeColor="text1" w:themeTint="D9"/>
                <w:sz w:val="20"/>
                <w:szCs w:val="20"/>
              </w:rPr>
            </w:pPr>
            <w:r w:rsidRPr="00CD6272">
              <w:rPr>
                <w:rFonts w:ascii="Arial" w:hAnsi="Arial" w:cs="Arial"/>
                <w:b/>
                <w:bCs/>
                <w:color w:val="262626" w:themeColor="text1" w:themeTint="D9"/>
                <w:sz w:val="20"/>
                <w:szCs w:val="20"/>
              </w:rPr>
              <w:t>Résultats</w:t>
            </w:r>
          </w:p>
        </w:tc>
        <w:tc>
          <w:tcPr>
            <w:tcW w:w="2193" w:type="dxa"/>
            <w:shd w:val="clear" w:color="auto" w:fill="FFCC99"/>
            <w:vAlign w:val="center"/>
            <w:hideMark/>
          </w:tcPr>
          <w:p w14:paraId="49D7E118" w14:textId="2D328994" w:rsidR="00A461C6" w:rsidRPr="00CD6272" w:rsidRDefault="00A461C6" w:rsidP="002D4074">
            <w:pPr>
              <w:spacing w:after="0" w:line="240" w:lineRule="auto"/>
              <w:rPr>
                <w:rFonts w:ascii="Arial" w:hAnsi="Arial" w:cs="Arial"/>
                <w:b/>
                <w:bCs/>
                <w:color w:val="262626" w:themeColor="text1" w:themeTint="D9"/>
                <w:sz w:val="20"/>
                <w:szCs w:val="20"/>
              </w:rPr>
            </w:pPr>
            <w:r w:rsidRPr="00CD6272">
              <w:rPr>
                <w:rFonts w:ascii="Arial" w:hAnsi="Arial" w:cs="Arial"/>
                <w:b/>
                <w:bCs/>
                <w:color w:val="262626" w:themeColor="text1" w:themeTint="D9"/>
                <w:sz w:val="20"/>
                <w:szCs w:val="20"/>
                <w:lang w:val="fr-LU"/>
              </w:rPr>
              <w:t xml:space="preserve">Indicateurs </w:t>
            </w:r>
          </w:p>
        </w:tc>
        <w:tc>
          <w:tcPr>
            <w:tcW w:w="1620" w:type="dxa"/>
            <w:shd w:val="clear" w:color="auto" w:fill="FFCC99"/>
            <w:vAlign w:val="center"/>
            <w:hideMark/>
          </w:tcPr>
          <w:p w14:paraId="79E327C3" w14:textId="77777777" w:rsidR="00A461C6" w:rsidRPr="00CD6272" w:rsidRDefault="00A461C6" w:rsidP="002D4074">
            <w:pPr>
              <w:spacing w:after="0" w:line="240" w:lineRule="auto"/>
              <w:rPr>
                <w:rFonts w:ascii="Arial" w:hAnsi="Arial" w:cs="Arial"/>
                <w:b/>
                <w:bCs/>
                <w:color w:val="262626" w:themeColor="text1" w:themeTint="D9"/>
                <w:sz w:val="20"/>
                <w:szCs w:val="20"/>
                <w:lang w:val="fr-LU"/>
              </w:rPr>
            </w:pPr>
            <w:r w:rsidRPr="00CD6272">
              <w:rPr>
                <w:rFonts w:ascii="Arial" w:hAnsi="Arial" w:cs="Arial"/>
                <w:b/>
                <w:bCs/>
                <w:color w:val="262626" w:themeColor="text1" w:themeTint="D9"/>
                <w:sz w:val="20"/>
                <w:szCs w:val="20"/>
                <w:lang w:val="fr-LU"/>
              </w:rPr>
              <w:t xml:space="preserve">Cibles </w:t>
            </w:r>
          </w:p>
          <w:p w14:paraId="1A796013" w14:textId="77777777" w:rsidR="00A461C6" w:rsidRPr="00CD6272" w:rsidRDefault="00A461C6" w:rsidP="002D4074">
            <w:pPr>
              <w:spacing w:after="0" w:line="240" w:lineRule="auto"/>
              <w:rPr>
                <w:rFonts w:ascii="Arial" w:hAnsi="Arial" w:cs="Arial"/>
                <w:b/>
                <w:bCs/>
                <w:color w:val="262626" w:themeColor="text1" w:themeTint="D9"/>
                <w:sz w:val="20"/>
                <w:szCs w:val="20"/>
              </w:rPr>
            </w:pPr>
            <w:r w:rsidRPr="00CD6272">
              <w:rPr>
                <w:rFonts w:ascii="Arial" w:hAnsi="Arial" w:cs="Arial"/>
                <w:b/>
                <w:bCs/>
                <w:color w:val="262626" w:themeColor="text1" w:themeTint="D9"/>
                <w:sz w:val="20"/>
                <w:szCs w:val="20"/>
                <w:lang w:val="fr-LU"/>
              </w:rPr>
              <w:t>(</w:t>
            </w:r>
            <w:proofErr w:type="gramStart"/>
            <w:r w:rsidRPr="00CD6272">
              <w:rPr>
                <w:rFonts w:ascii="Arial" w:hAnsi="Arial" w:cs="Arial"/>
                <w:b/>
                <w:bCs/>
                <w:color w:val="262626" w:themeColor="text1" w:themeTint="D9"/>
                <w:sz w:val="20"/>
                <w:szCs w:val="20"/>
                <w:lang w:val="fr-LU"/>
              </w:rPr>
              <w:t>tout</w:t>
            </w:r>
            <w:proofErr w:type="gramEnd"/>
            <w:r w:rsidRPr="00CD6272">
              <w:rPr>
                <w:rFonts w:ascii="Arial" w:hAnsi="Arial" w:cs="Arial"/>
                <w:b/>
                <w:bCs/>
                <w:color w:val="262626" w:themeColor="text1" w:themeTint="D9"/>
                <w:sz w:val="20"/>
                <w:szCs w:val="20"/>
                <w:lang w:val="fr-LU"/>
              </w:rPr>
              <w:t xml:space="preserve"> projet)</w:t>
            </w:r>
          </w:p>
        </w:tc>
        <w:tc>
          <w:tcPr>
            <w:tcW w:w="1530" w:type="dxa"/>
            <w:shd w:val="clear" w:color="auto" w:fill="FFCC99"/>
            <w:vAlign w:val="center"/>
            <w:hideMark/>
          </w:tcPr>
          <w:p w14:paraId="3D6772AC" w14:textId="77777777" w:rsidR="00A461C6" w:rsidRPr="00CD6272" w:rsidRDefault="00A461C6" w:rsidP="002D4074">
            <w:pPr>
              <w:spacing w:after="0" w:line="240" w:lineRule="auto"/>
              <w:rPr>
                <w:rFonts w:ascii="Arial" w:hAnsi="Arial" w:cs="Arial"/>
                <w:b/>
                <w:bCs/>
                <w:color w:val="262626" w:themeColor="text1" w:themeTint="D9"/>
                <w:sz w:val="20"/>
                <w:szCs w:val="20"/>
              </w:rPr>
            </w:pPr>
            <w:r w:rsidRPr="00CD6272">
              <w:rPr>
                <w:rFonts w:ascii="Arial" w:hAnsi="Arial" w:cs="Arial"/>
                <w:b/>
                <w:bCs/>
                <w:color w:val="262626" w:themeColor="text1" w:themeTint="D9"/>
                <w:sz w:val="20"/>
                <w:szCs w:val="20"/>
                <w:lang w:val="fr-LU"/>
              </w:rPr>
              <w:t xml:space="preserve">Cibles (annuels du mars 2023-29 février 2024) </w:t>
            </w:r>
          </w:p>
        </w:tc>
        <w:tc>
          <w:tcPr>
            <w:tcW w:w="1170" w:type="dxa"/>
            <w:shd w:val="clear" w:color="auto" w:fill="FFCC99"/>
            <w:vAlign w:val="center"/>
            <w:hideMark/>
          </w:tcPr>
          <w:p w14:paraId="44A70C0C" w14:textId="77777777" w:rsidR="00A461C6" w:rsidRPr="00CD6272" w:rsidRDefault="00A461C6" w:rsidP="002D4074">
            <w:pPr>
              <w:spacing w:after="0" w:line="240" w:lineRule="auto"/>
              <w:rPr>
                <w:rFonts w:ascii="Arial" w:hAnsi="Arial" w:cs="Arial"/>
                <w:b/>
                <w:bCs/>
                <w:color w:val="262626" w:themeColor="text1" w:themeTint="D9"/>
                <w:sz w:val="20"/>
                <w:szCs w:val="20"/>
              </w:rPr>
            </w:pPr>
            <w:r w:rsidRPr="00CD6272">
              <w:rPr>
                <w:rFonts w:ascii="Arial" w:hAnsi="Arial" w:cs="Arial"/>
                <w:b/>
                <w:bCs/>
                <w:color w:val="262626" w:themeColor="text1" w:themeTint="D9"/>
                <w:sz w:val="20"/>
                <w:szCs w:val="20"/>
                <w:lang w:val="fr-LU"/>
              </w:rPr>
              <w:t>Cibles (atteints mars 2023-29 février 2024)</w:t>
            </w:r>
          </w:p>
        </w:tc>
        <w:tc>
          <w:tcPr>
            <w:tcW w:w="1512" w:type="dxa"/>
            <w:shd w:val="clear" w:color="auto" w:fill="FFCC99"/>
            <w:vAlign w:val="center"/>
            <w:hideMark/>
          </w:tcPr>
          <w:p w14:paraId="578600D9" w14:textId="77777777" w:rsidR="00A461C6" w:rsidRPr="00CD6272" w:rsidRDefault="00A461C6" w:rsidP="002D4074">
            <w:pPr>
              <w:spacing w:after="0" w:line="240" w:lineRule="auto"/>
              <w:rPr>
                <w:rFonts w:ascii="Arial" w:hAnsi="Arial" w:cs="Arial"/>
                <w:b/>
                <w:bCs/>
                <w:color w:val="262626" w:themeColor="text1" w:themeTint="D9"/>
                <w:sz w:val="20"/>
                <w:szCs w:val="20"/>
              </w:rPr>
            </w:pPr>
            <w:r w:rsidRPr="00CD6272">
              <w:rPr>
                <w:rFonts w:ascii="Arial" w:hAnsi="Arial" w:cs="Arial"/>
                <w:b/>
                <w:bCs/>
                <w:color w:val="262626" w:themeColor="text1" w:themeTint="D9"/>
                <w:sz w:val="20"/>
                <w:szCs w:val="20"/>
                <w:lang w:val="fr-LU"/>
              </w:rPr>
              <w:t xml:space="preserve">Taux d'achèvement (en %) </w:t>
            </w:r>
          </w:p>
        </w:tc>
        <w:tc>
          <w:tcPr>
            <w:tcW w:w="5529" w:type="dxa"/>
            <w:shd w:val="clear" w:color="auto" w:fill="FFCC99"/>
            <w:vAlign w:val="center"/>
          </w:tcPr>
          <w:p w14:paraId="4ADB7287" w14:textId="77777777" w:rsidR="00A461C6" w:rsidRPr="00CD6272" w:rsidRDefault="00A461C6" w:rsidP="002D4074">
            <w:pPr>
              <w:spacing w:line="240" w:lineRule="auto"/>
              <w:rPr>
                <w:rFonts w:ascii="Arial" w:hAnsi="Arial" w:cs="Arial"/>
                <w:b/>
                <w:bCs/>
                <w:color w:val="262626" w:themeColor="text1" w:themeTint="D9"/>
                <w:sz w:val="20"/>
                <w:szCs w:val="20"/>
                <w:lang w:val="fr-LU"/>
              </w:rPr>
            </w:pPr>
            <w:proofErr w:type="spellStart"/>
            <w:r w:rsidRPr="00CD6272">
              <w:rPr>
                <w:rFonts w:ascii="Arial" w:hAnsi="Arial" w:cs="Arial"/>
                <w:b/>
                <w:bCs/>
                <w:color w:val="262626" w:themeColor="text1" w:themeTint="D9"/>
                <w:sz w:val="20"/>
                <w:szCs w:val="20"/>
              </w:rPr>
              <w:t>Comm</w:t>
            </w:r>
            <w:proofErr w:type="spellEnd"/>
            <w:r w:rsidRPr="00CD6272">
              <w:rPr>
                <w:rFonts w:ascii="Arial" w:hAnsi="Arial" w:cs="Arial"/>
                <w:b/>
                <w:bCs/>
                <w:color w:val="262626" w:themeColor="text1" w:themeTint="D9"/>
                <w:sz w:val="20"/>
                <w:szCs w:val="20"/>
                <w:lang w:val="fr-LU"/>
              </w:rPr>
              <w:t>e</w:t>
            </w:r>
            <w:proofErr w:type="spellStart"/>
            <w:r w:rsidRPr="00CD6272">
              <w:rPr>
                <w:rFonts w:ascii="Arial" w:hAnsi="Arial" w:cs="Arial"/>
                <w:b/>
                <w:bCs/>
                <w:color w:val="262626" w:themeColor="text1" w:themeTint="D9"/>
                <w:sz w:val="20"/>
                <w:szCs w:val="20"/>
              </w:rPr>
              <w:t>ntair</w:t>
            </w:r>
            <w:proofErr w:type="spellEnd"/>
            <w:r w:rsidRPr="00CD6272">
              <w:rPr>
                <w:rFonts w:ascii="Arial" w:hAnsi="Arial" w:cs="Arial"/>
                <w:b/>
                <w:bCs/>
                <w:color w:val="262626" w:themeColor="text1" w:themeTint="D9"/>
                <w:sz w:val="20"/>
                <w:szCs w:val="20"/>
                <w:lang w:val="fr-LU"/>
              </w:rPr>
              <w:t>es</w:t>
            </w:r>
          </w:p>
        </w:tc>
      </w:tr>
      <w:tr w:rsidR="00A461C6" w:rsidRPr="00D54936" w14:paraId="785C58A4" w14:textId="77777777" w:rsidTr="002D4074">
        <w:trPr>
          <w:trHeight w:val="411"/>
        </w:trPr>
        <w:tc>
          <w:tcPr>
            <w:tcW w:w="1756" w:type="dxa"/>
            <w:vMerge w:val="restart"/>
            <w:vAlign w:val="center"/>
            <w:hideMark/>
          </w:tcPr>
          <w:p w14:paraId="362E7AF3" w14:textId="77777777" w:rsidR="00A461C6" w:rsidRPr="0051047E" w:rsidRDefault="00A461C6" w:rsidP="002D4074">
            <w:pPr>
              <w:spacing w:after="0" w:line="240" w:lineRule="auto"/>
              <w:jc w:val="both"/>
              <w:rPr>
                <w:rFonts w:ascii="Arial" w:hAnsi="Arial" w:cs="Arial"/>
                <w:color w:val="262626" w:themeColor="text1" w:themeTint="D9"/>
                <w:sz w:val="20"/>
                <w:szCs w:val="20"/>
              </w:rPr>
            </w:pPr>
            <w:r w:rsidRPr="0051047E">
              <w:rPr>
                <w:rFonts w:ascii="Arial" w:hAnsi="Arial" w:cs="Arial"/>
                <w:color w:val="262626" w:themeColor="text1" w:themeTint="D9"/>
                <w:sz w:val="20"/>
                <w:szCs w:val="20"/>
              </w:rPr>
              <w:t>Résultat 100 :   Augmentation des clientèles rurales dans le portefeuille des IMF</w:t>
            </w:r>
          </w:p>
        </w:tc>
        <w:tc>
          <w:tcPr>
            <w:tcW w:w="2193" w:type="dxa"/>
            <w:shd w:val="clear" w:color="auto" w:fill="auto"/>
            <w:vAlign w:val="center"/>
          </w:tcPr>
          <w:p w14:paraId="302F7AB2" w14:textId="77777777" w:rsidR="00A461C6" w:rsidRPr="0051047E" w:rsidRDefault="00A461C6" w:rsidP="002D4074">
            <w:pPr>
              <w:spacing w:after="0" w:line="240" w:lineRule="auto"/>
              <w:jc w:val="both"/>
              <w:rPr>
                <w:rFonts w:ascii="Arial" w:hAnsi="Arial" w:cs="Arial"/>
                <w:color w:val="262626" w:themeColor="text1" w:themeTint="D9"/>
                <w:sz w:val="20"/>
                <w:szCs w:val="20"/>
              </w:rPr>
            </w:pPr>
            <w:r w:rsidRPr="0051047E">
              <w:rPr>
                <w:rFonts w:ascii="Arial" w:hAnsi="Arial" w:cs="Arial"/>
                <w:color w:val="262626" w:themeColor="text1" w:themeTint="D9"/>
                <w:sz w:val="20"/>
                <w:szCs w:val="20"/>
                <w:lang w:val="fr-LU"/>
              </w:rPr>
              <w:t>Nouveaux petits exploitants agricoles membres des OP accèdent au crédit des IMF</w:t>
            </w:r>
          </w:p>
        </w:tc>
        <w:tc>
          <w:tcPr>
            <w:tcW w:w="1620" w:type="dxa"/>
            <w:shd w:val="clear" w:color="auto" w:fill="auto"/>
            <w:vAlign w:val="center"/>
          </w:tcPr>
          <w:p w14:paraId="2882BDE8" w14:textId="77777777" w:rsidR="00A461C6" w:rsidRPr="0051047E" w:rsidRDefault="00A461C6" w:rsidP="002D4074">
            <w:pPr>
              <w:spacing w:after="0" w:line="240" w:lineRule="auto"/>
              <w:jc w:val="right"/>
              <w:rPr>
                <w:rFonts w:ascii="Arial" w:hAnsi="Arial" w:cs="Arial"/>
                <w:color w:val="262626" w:themeColor="text1" w:themeTint="D9"/>
                <w:sz w:val="20"/>
                <w:szCs w:val="20"/>
              </w:rPr>
            </w:pPr>
            <w:r w:rsidRPr="0051047E">
              <w:rPr>
                <w:rFonts w:ascii="Arial" w:hAnsi="Arial" w:cs="Arial"/>
                <w:color w:val="262626" w:themeColor="text1" w:themeTint="D9"/>
                <w:sz w:val="20"/>
                <w:szCs w:val="20"/>
                <w:lang w:val="fr-LU"/>
              </w:rPr>
              <w:t>30</w:t>
            </w:r>
            <w:r>
              <w:rPr>
                <w:rFonts w:ascii="Arial" w:hAnsi="Arial" w:cs="Arial"/>
                <w:color w:val="262626" w:themeColor="text1" w:themeTint="D9"/>
                <w:sz w:val="20"/>
                <w:szCs w:val="20"/>
                <w:lang w:val="fr-LU"/>
              </w:rPr>
              <w:t xml:space="preserve"> </w:t>
            </w:r>
            <w:r w:rsidRPr="0051047E">
              <w:rPr>
                <w:rFonts w:ascii="Arial" w:hAnsi="Arial" w:cs="Arial"/>
                <w:color w:val="262626" w:themeColor="text1" w:themeTint="D9"/>
                <w:sz w:val="20"/>
                <w:szCs w:val="20"/>
                <w:lang w:val="fr-LU"/>
              </w:rPr>
              <w:t>000</w:t>
            </w:r>
          </w:p>
        </w:tc>
        <w:tc>
          <w:tcPr>
            <w:tcW w:w="1530" w:type="dxa"/>
            <w:shd w:val="clear" w:color="auto" w:fill="auto"/>
            <w:vAlign w:val="center"/>
          </w:tcPr>
          <w:p w14:paraId="3ABC2C72" w14:textId="77777777" w:rsidR="00A461C6" w:rsidRPr="0051047E" w:rsidRDefault="00A461C6" w:rsidP="002D4074">
            <w:pPr>
              <w:spacing w:after="0" w:line="240" w:lineRule="auto"/>
              <w:jc w:val="right"/>
              <w:rPr>
                <w:rFonts w:ascii="Arial" w:hAnsi="Arial" w:cs="Arial"/>
                <w:color w:val="262626" w:themeColor="text1" w:themeTint="D9"/>
                <w:sz w:val="20"/>
                <w:szCs w:val="20"/>
              </w:rPr>
            </w:pPr>
            <w:r w:rsidRPr="0051047E">
              <w:rPr>
                <w:rFonts w:ascii="Arial" w:eastAsia="Arial" w:hAnsi="Arial" w:cs="Arial"/>
                <w:color w:val="262626" w:themeColor="text1" w:themeTint="D9"/>
                <w:sz w:val="20"/>
                <w:szCs w:val="20"/>
                <w:lang w:val="fr"/>
              </w:rPr>
              <w:t>16</w:t>
            </w:r>
            <w:r>
              <w:rPr>
                <w:rFonts w:ascii="Arial" w:eastAsia="Arial" w:hAnsi="Arial" w:cs="Arial"/>
                <w:color w:val="262626" w:themeColor="text1" w:themeTint="D9"/>
                <w:sz w:val="20"/>
                <w:szCs w:val="20"/>
                <w:lang w:val="fr"/>
              </w:rPr>
              <w:t xml:space="preserve"> </w:t>
            </w:r>
            <w:r w:rsidRPr="0051047E">
              <w:rPr>
                <w:rFonts w:ascii="Arial" w:eastAsia="Arial" w:hAnsi="Arial" w:cs="Arial"/>
                <w:color w:val="262626" w:themeColor="text1" w:themeTint="D9"/>
                <w:sz w:val="20"/>
                <w:szCs w:val="20"/>
                <w:lang w:val="fr"/>
              </w:rPr>
              <w:t>800</w:t>
            </w:r>
          </w:p>
        </w:tc>
        <w:tc>
          <w:tcPr>
            <w:tcW w:w="1170" w:type="dxa"/>
            <w:shd w:val="clear" w:color="auto" w:fill="auto"/>
            <w:vAlign w:val="center"/>
          </w:tcPr>
          <w:p w14:paraId="6001EFF9" w14:textId="77777777" w:rsidR="00A461C6" w:rsidRPr="0051047E" w:rsidRDefault="00A461C6" w:rsidP="002D4074">
            <w:pPr>
              <w:spacing w:after="0" w:line="240" w:lineRule="auto"/>
              <w:jc w:val="right"/>
              <w:rPr>
                <w:rFonts w:ascii="Arial" w:hAnsi="Arial" w:cs="Arial"/>
                <w:color w:val="262626" w:themeColor="text1" w:themeTint="D9"/>
                <w:sz w:val="20"/>
                <w:szCs w:val="20"/>
              </w:rPr>
            </w:pPr>
            <w:r w:rsidRPr="0051047E">
              <w:rPr>
                <w:rFonts w:ascii="Arial" w:eastAsia="Arial" w:hAnsi="Arial" w:cs="Arial"/>
                <w:color w:val="262626" w:themeColor="text1" w:themeTint="D9"/>
                <w:sz w:val="20"/>
                <w:szCs w:val="20"/>
                <w:lang w:val="en-US"/>
              </w:rPr>
              <w:t>16</w:t>
            </w:r>
            <w:r>
              <w:rPr>
                <w:rFonts w:ascii="Arial" w:eastAsia="Arial" w:hAnsi="Arial" w:cs="Arial"/>
                <w:color w:val="262626" w:themeColor="text1" w:themeTint="D9"/>
                <w:sz w:val="20"/>
                <w:szCs w:val="20"/>
                <w:lang w:val="en-US"/>
              </w:rPr>
              <w:t xml:space="preserve"> </w:t>
            </w:r>
            <w:r w:rsidRPr="0051047E">
              <w:rPr>
                <w:rFonts w:ascii="Arial" w:eastAsia="Arial" w:hAnsi="Arial" w:cs="Arial"/>
                <w:color w:val="262626" w:themeColor="text1" w:themeTint="D9"/>
                <w:sz w:val="20"/>
                <w:szCs w:val="20"/>
                <w:lang w:val="en-US"/>
              </w:rPr>
              <w:t>219</w:t>
            </w:r>
          </w:p>
        </w:tc>
        <w:tc>
          <w:tcPr>
            <w:tcW w:w="1512" w:type="dxa"/>
            <w:shd w:val="clear" w:color="auto" w:fill="auto"/>
            <w:vAlign w:val="center"/>
          </w:tcPr>
          <w:p w14:paraId="45600623" w14:textId="77777777" w:rsidR="00A461C6" w:rsidRPr="0051047E" w:rsidRDefault="00A461C6" w:rsidP="002D4074">
            <w:pPr>
              <w:spacing w:after="0" w:line="240" w:lineRule="auto"/>
              <w:jc w:val="right"/>
              <w:rPr>
                <w:rFonts w:ascii="Arial" w:hAnsi="Arial" w:cs="Arial"/>
                <w:color w:val="262626" w:themeColor="text1" w:themeTint="D9"/>
                <w:sz w:val="20"/>
                <w:szCs w:val="20"/>
              </w:rPr>
            </w:pPr>
            <w:r w:rsidRPr="0051047E">
              <w:rPr>
                <w:rFonts w:ascii="Arial" w:hAnsi="Arial" w:cs="Arial"/>
                <w:color w:val="262626" w:themeColor="text1" w:themeTint="D9"/>
                <w:sz w:val="20"/>
                <w:szCs w:val="20"/>
              </w:rPr>
              <w:t>97</w:t>
            </w:r>
            <w:r>
              <w:rPr>
                <w:rFonts w:ascii="Arial" w:hAnsi="Arial" w:cs="Arial"/>
                <w:color w:val="262626" w:themeColor="text1" w:themeTint="D9"/>
                <w:sz w:val="20"/>
                <w:szCs w:val="20"/>
              </w:rPr>
              <w:t>%</w:t>
            </w:r>
          </w:p>
        </w:tc>
        <w:tc>
          <w:tcPr>
            <w:tcW w:w="5529" w:type="dxa"/>
            <w:shd w:val="clear" w:color="auto" w:fill="auto"/>
            <w:noWrap/>
            <w:vAlign w:val="bottom"/>
          </w:tcPr>
          <w:p w14:paraId="0FD84F06" w14:textId="77777777" w:rsidR="00A461C6" w:rsidRPr="0051047E" w:rsidRDefault="00A461C6" w:rsidP="002D4074">
            <w:pPr>
              <w:spacing w:after="0" w:line="240" w:lineRule="auto"/>
              <w:jc w:val="both"/>
              <w:rPr>
                <w:rFonts w:ascii="Arial" w:hAnsi="Arial" w:cs="Arial"/>
                <w:color w:val="262626" w:themeColor="text1" w:themeTint="D9"/>
                <w:sz w:val="20"/>
                <w:szCs w:val="20"/>
              </w:rPr>
            </w:pPr>
            <w:r w:rsidRPr="0051047E">
              <w:rPr>
                <w:rFonts w:ascii="Arial" w:hAnsi="Arial" w:cs="Arial"/>
                <w:color w:val="262626" w:themeColor="text1" w:themeTint="D9"/>
                <w:sz w:val="20"/>
                <w:szCs w:val="20"/>
              </w:rPr>
              <w:t>Les 16</w:t>
            </w:r>
            <w:r>
              <w:rPr>
                <w:rFonts w:ascii="Arial" w:hAnsi="Arial" w:cs="Arial"/>
                <w:color w:val="262626" w:themeColor="text1" w:themeTint="D9"/>
                <w:sz w:val="20"/>
                <w:szCs w:val="20"/>
              </w:rPr>
              <w:t xml:space="preserve"> </w:t>
            </w:r>
            <w:r w:rsidRPr="0051047E">
              <w:rPr>
                <w:rFonts w:ascii="Arial" w:hAnsi="Arial" w:cs="Arial"/>
                <w:color w:val="262626" w:themeColor="text1" w:themeTint="D9"/>
                <w:sz w:val="20"/>
                <w:szCs w:val="20"/>
              </w:rPr>
              <w:t>219</w:t>
            </w:r>
            <w:r>
              <w:rPr>
                <w:rFonts w:ascii="Arial" w:hAnsi="Arial" w:cs="Arial"/>
                <w:color w:val="262626" w:themeColor="text1" w:themeTint="D9"/>
                <w:sz w:val="20"/>
                <w:szCs w:val="20"/>
              </w:rPr>
              <w:t xml:space="preserve"> </w:t>
            </w:r>
            <w:r w:rsidRPr="0051047E">
              <w:rPr>
                <w:rFonts w:ascii="Arial" w:hAnsi="Arial" w:cs="Arial"/>
                <w:color w:val="262626" w:themeColor="text1" w:themeTint="D9"/>
                <w:sz w:val="20"/>
                <w:szCs w:val="20"/>
              </w:rPr>
              <w:t>sont constitués de 12</w:t>
            </w:r>
            <w:r>
              <w:rPr>
                <w:rFonts w:ascii="Arial" w:hAnsi="Arial" w:cs="Arial"/>
                <w:color w:val="262626" w:themeColor="text1" w:themeTint="D9"/>
                <w:sz w:val="20"/>
                <w:szCs w:val="20"/>
              </w:rPr>
              <w:t xml:space="preserve"> </w:t>
            </w:r>
            <w:r w:rsidRPr="0051047E">
              <w:rPr>
                <w:rFonts w:ascii="Arial" w:hAnsi="Arial" w:cs="Arial"/>
                <w:color w:val="262626" w:themeColor="text1" w:themeTint="D9"/>
                <w:sz w:val="20"/>
                <w:szCs w:val="20"/>
              </w:rPr>
              <w:t>049 petits exploitants agricoles qui ont accédé aux crédits</w:t>
            </w:r>
            <w:r>
              <w:rPr>
                <w:rFonts w:ascii="Arial" w:hAnsi="Arial" w:cs="Arial"/>
                <w:color w:val="262626" w:themeColor="text1" w:themeTint="D9"/>
                <w:sz w:val="20"/>
                <w:szCs w:val="20"/>
              </w:rPr>
              <w:t xml:space="preserve"> </w:t>
            </w:r>
            <w:r w:rsidRPr="0051047E">
              <w:rPr>
                <w:rFonts w:ascii="Arial" w:hAnsi="Arial" w:cs="Arial"/>
                <w:color w:val="262626" w:themeColor="text1" w:themeTint="D9"/>
                <w:sz w:val="20"/>
                <w:szCs w:val="20"/>
              </w:rPr>
              <w:t>(agri finance),1</w:t>
            </w:r>
            <w:r>
              <w:rPr>
                <w:rFonts w:ascii="Arial" w:hAnsi="Arial" w:cs="Arial"/>
                <w:color w:val="262626" w:themeColor="text1" w:themeTint="D9"/>
                <w:sz w:val="20"/>
                <w:szCs w:val="20"/>
              </w:rPr>
              <w:t xml:space="preserve"> </w:t>
            </w:r>
            <w:r w:rsidRPr="0051047E">
              <w:rPr>
                <w:rFonts w:ascii="Arial" w:hAnsi="Arial" w:cs="Arial"/>
                <w:color w:val="262626" w:themeColor="text1" w:themeTint="D9"/>
                <w:sz w:val="20"/>
                <w:szCs w:val="20"/>
              </w:rPr>
              <w:t>890 qui ont été financé pour les chaines de valeurs tournesol, amarante, lait, prune de japon et sorgho blanc et 2</w:t>
            </w:r>
            <w:r>
              <w:rPr>
                <w:rFonts w:ascii="Arial" w:hAnsi="Arial" w:cs="Arial"/>
                <w:color w:val="262626" w:themeColor="text1" w:themeTint="D9"/>
                <w:sz w:val="20"/>
                <w:szCs w:val="20"/>
              </w:rPr>
              <w:t xml:space="preserve"> </w:t>
            </w:r>
            <w:r w:rsidRPr="0051047E">
              <w:rPr>
                <w:rFonts w:ascii="Arial" w:hAnsi="Arial" w:cs="Arial"/>
                <w:color w:val="262626" w:themeColor="text1" w:themeTint="D9"/>
                <w:sz w:val="20"/>
                <w:szCs w:val="20"/>
              </w:rPr>
              <w:t>182 ont été financé en utilisant l’outil A</w:t>
            </w:r>
            <w:r>
              <w:rPr>
                <w:rFonts w:ascii="Arial" w:hAnsi="Arial" w:cs="Arial"/>
                <w:color w:val="262626" w:themeColor="text1" w:themeTint="D9"/>
                <w:sz w:val="20"/>
                <w:szCs w:val="20"/>
              </w:rPr>
              <w:t>-</w:t>
            </w:r>
            <w:r w:rsidRPr="0051047E">
              <w:rPr>
                <w:rFonts w:ascii="Arial" w:hAnsi="Arial" w:cs="Arial"/>
                <w:color w:val="262626" w:themeColor="text1" w:themeTint="D9"/>
                <w:sz w:val="20"/>
                <w:szCs w:val="20"/>
              </w:rPr>
              <w:t>CAT.</w:t>
            </w:r>
          </w:p>
        </w:tc>
      </w:tr>
      <w:tr w:rsidR="00A461C6" w:rsidRPr="00D54936" w14:paraId="2F65DA0B" w14:textId="77777777" w:rsidTr="002D4074">
        <w:trPr>
          <w:trHeight w:val="411"/>
        </w:trPr>
        <w:tc>
          <w:tcPr>
            <w:tcW w:w="1756" w:type="dxa"/>
            <w:vMerge/>
            <w:vAlign w:val="center"/>
          </w:tcPr>
          <w:p w14:paraId="09C18604" w14:textId="77777777" w:rsidR="00A461C6" w:rsidRPr="0051047E" w:rsidRDefault="00A461C6" w:rsidP="002D4074">
            <w:pPr>
              <w:spacing w:after="0" w:line="240" w:lineRule="auto"/>
              <w:rPr>
                <w:rFonts w:ascii="Arial" w:hAnsi="Arial" w:cs="Arial"/>
                <w:color w:val="262626" w:themeColor="text1" w:themeTint="D9"/>
                <w:sz w:val="20"/>
                <w:szCs w:val="20"/>
              </w:rPr>
            </w:pPr>
          </w:p>
        </w:tc>
        <w:tc>
          <w:tcPr>
            <w:tcW w:w="2193" w:type="dxa"/>
            <w:shd w:val="clear" w:color="auto" w:fill="auto"/>
            <w:vAlign w:val="center"/>
          </w:tcPr>
          <w:p w14:paraId="603EF36F" w14:textId="77777777" w:rsidR="00A461C6" w:rsidRPr="0051047E" w:rsidRDefault="00A461C6" w:rsidP="002D4074">
            <w:pPr>
              <w:spacing w:after="0" w:line="240" w:lineRule="auto"/>
              <w:rPr>
                <w:rFonts w:ascii="Arial" w:hAnsi="Arial" w:cs="Arial"/>
                <w:color w:val="262626" w:themeColor="text1" w:themeTint="D9"/>
                <w:sz w:val="20"/>
                <w:szCs w:val="20"/>
                <w:lang w:val="fr-LU"/>
              </w:rPr>
            </w:pPr>
            <w:r w:rsidRPr="0051047E">
              <w:rPr>
                <w:rFonts w:ascii="Arial" w:hAnsi="Arial" w:cs="Arial"/>
                <w:color w:val="262626" w:themeColor="text1" w:themeTint="D9"/>
                <w:sz w:val="20"/>
                <w:szCs w:val="20"/>
                <w:lang w:val="fr-LU"/>
              </w:rPr>
              <w:t>Nouveaux membres des VSLA bancarisés</w:t>
            </w:r>
          </w:p>
        </w:tc>
        <w:tc>
          <w:tcPr>
            <w:tcW w:w="1620" w:type="dxa"/>
            <w:shd w:val="clear" w:color="auto" w:fill="auto"/>
            <w:vAlign w:val="center"/>
          </w:tcPr>
          <w:p w14:paraId="6A0DDB10" w14:textId="77777777" w:rsidR="00A461C6" w:rsidRPr="0051047E" w:rsidRDefault="00A461C6" w:rsidP="002D4074">
            <w:pPr>
              <w:spacing w:after="0" w:line="240" w:lineRule="auto"/>
              <w:jc w:val="right"/>
              <w:rPr>
                <w:rFonts w:ascii="Arial" w:hAnsi="Arial" w:cs="Arial"/>
                <w:color w:val="262626" w:themeColor="text1" w:themeTint="D9"/>
                <w:sz w:val="20"/>
                <w:szCs w:val="20"/>
                <w:lang w:val="fr-LU"/>
              </w:rPr>
            </w:pPr>
            <w:r w:rsidRPr="0051047E">
              <w:rPr>
                <w:rFonts w:ascii="Arial" w:hAnsi="Arial" w:cs="Arial"/>
                <w:color w:val="262626" w:themeColor="text1" w:themeTint="D9"/>
                <w:sz w:val="20"/>
                <w:szCs w:val="20"/>
                <w:lang w:val="fr-LU"/>
              </w:rPr>
              <w:t>100</w:t>
            </w:r>
            <w:r>
              <w:rPr>
                <w:rFonts w:ascii="Arial" w:hAnsi="Arial" w:cs="Arial"/>
                <w:color w:val="262626" w:themeColor="text1" w:themeTint="D9"/>
                <w:sz w:val="20"/>
                <w:szCs w:val="20"/>
                <w:lang w:val="fr-LU"/>
              </w:rPr>
              <w:t xml:space="preserve"> </w:t>
            </w:r>
            <w:r w:rsidRPr="0051047E">
              <w:rPr>
                <w:rFonts w:ascii="Arial" w:hAnsi="Arial" w:cs="Arial"/>
                <w:color w:val="262626" w:themeColor="text1" w:themeTint="D9"/>
                <w:sz w:val="20"/>
                <w:szCs w:val="20"/>
                <w:lang w:val="fr-LU"/>
              </w:rPr>
              <w:t>000</w:t>
            </w:r>
          </w:p>
        </w:tc>
        <w:tc>
          <w:tcPr>
            <w:tcW w:w="1530" w:type="dxa"/>
            <w:shd w:val="clear" w:color="auto" w:fill="auto"/>
            <w:vAlign w:val="center"/>
          </w:tcPr>
          <w:p w14:paraId="3099EAAD" w14:textId="77777777" w:rsidR="00A461C6" w:rsidRPr="0051047E" w:rsidRDefault="00A461C6" w:rsidP="002D4074">
            <w:pPr>
              <w:spacing w:after="0" w:line="240" w:lineRule="auto"/>
              <w:jc w:val="right"/>
              <w:rPr>
                <w:rFonts w:ascii="Arial" w:eastAsia="Arial" w:hAnsi="Arial" w:cs="Arial"/>
                <w:color w:val="262626" w:themeColor="text1" w:themeTint="D9"/>
                <w:sz w:val="20"/>
                <w:szCs w:val="20"/>
                <w:lang w:val="fr"/>
              </w:rPr>
            </w:pPr>
            <w:r w:rsidRPr="0051047E">
              <w:rPr>
                <w:rFonts w:ascii="Arial" w:eastAsia="Arial" w:hAnsi="Arial" w:cs="Arial"/>
                <w:color w:val="262626" w:themeColor="text1" w:themeTint="D9"/>
                <w:sz w:val="20"/>
                <w:szCs w:val="20"/>
                <w:lang w:val="fr"/>
              </w:rPr>
              <w:t>34</w:t>
            </w:r>
            <w:r>
              <w:rPr>
                <w:rFonts w:ascii="Arial" w:eastAsia="Arial" w:hAnsi="Arial" w:cs="Arial"/>
                <w:color w:val="262626" w:themeColor="text1" w:themeTint="D9"/>
                <w:sz w:val="20"/>
                <w:szCs w:val="20"/>
                <w:lang w:val="fr"/>
              </w:rPr>
              <w:t xml:space="preserve"> </w:t>
            </w:r>
            <w:r w:rsidRPr="0051047E">
              <w:rPr>
                <w:rFonts w:ascii="Arial" w:eastAsia="Arial" w:hAnsi="Arial" w:cs="Arial"/>
                <w:color w:val="262626" w:themeColor="text1" w:themeTint="D9"/>
                <w:sz w:val="20"/>
                <w:szCs w:val="20"/>
                <w:lang w:val="fr"/>
              </w:rPr>
              <w:t>000</w:t>
            </w:r>
          </w:p>
        </w:tc>
        <w:tc>
          <w:tcPr>
            <w:tcW w:w="1170" w:type="dxa"/>
            <w:shd w:val="clear" w:color="auto" w:fill="auto"/>
            <w:vAlign w:val="center"/>
          </w:tcPr>
          <w:p w14:paraId="1BCCBDF9" w14:textId="77777777" w:rsidR="00A461C6" w:rsidRPr="0051047E" w:rsidRDefault="00A461C6" w:rsidP="002D4074">
            <w:pPr>
              <w:spacing w:after="0" w:line="240" w:lineRule="auto"/>
              <w:jc w:val="right"/>
              <w:rPr>
                <w:rFonts w:ascii="Arial" w:eastAsia="Arial" w:hAnsi="Arial" w:cs="Arial"/>
                <w:color w:val="262626" w:themeColor="text1" w:themeTint="D9"/>
                <w:sz w:val="20"/>
                <w:szCs w:val="20"/>
                <w:lang w:val="en-US"/>
              </w:rPr>
            </w:pPr>
            <w:r w:rsidRPr="0051047E">
              <w:rPr>
                <w:rFonts w:ascii="Arial" w:eastAsia="Arial" w:hAnsi="Arial" w:cs="Arial"/>
                <w:color w:val="262626" w:themeColor="text1" w:themeTint="D9"/>
                <w:sz w:val="20"/>
                <w:szCs w:val="20"/>
                <w:lang w:val="en-US"/>
              </w:rPr>
              <w:t>19</w:t>
            </w:r>
            <w:r>
              <w:rPr>
                <w:rFonts w:ascii="Arial" w:eastAsia="Arial" w:hAnsi="Arial" w:cs="Arial"/>
                <w:color w:val="262626" w:themeColor="text1" w:themeTint="D9"/>
                <w:sz w:val="20"/>
                <w:szCs w:val="20"/>
                <w:lang w:val="en-US"/>
              </w:rPr>
              <w:t xml:space="preserve"> </w:t>
            </w:r>
            <w:r w:rsidRPr="0051047E">
              <w:rPr>
                <w:rFonts w:ascii="Arial" w:eastAsia="Arial" w:hAnsi="Arial" w:cs="Arial"/>
                <w:color w:val="262626" w:themeColor="text1" w:themeTint="D9"/>
                <w:sz w:val="20"/>
                <w:szCs w:val="20"/>
                <w:lang w:val="en-US"/>
              </w:rPr>
              <w:t>617</w:t>
            </w:r>
          </w:p>
        </w:tc>
        <w:tc>
          <w:tcPr>
            <w:tcW w:w="1512" w:type="dxa"/>
            <w:shd w:val="clear" w:color="auto" w:fill="auto"/>
            <w:vAlign w:val="center"/>
          </w:tcPr>
          <w:p w14:paraId="18A0CC1B" w14:textId="77777777" w:rsidR="00A461C6" w:rsidRPr="0051047E" w:rsidRDefault="00A461C6" w:rsidP="002D4074">
            <w:pPr>
              <w:spacing w:after="0" w:line="240" w:lineRule="auto"/>
              <w:jc w:val="right"/>
              <w:rPr>
                <w:rFonts w:ascii="Arial" w:eastAsia="Arial" w:hAnsi="Arial" w:cs="Arial"/>
                <w:color w:val="262626" w:themeColor="text1" w:themeTint="D9"/>
                <w:sz w:val="20"/>
                <w:szCs w:val="20"/>
                <w:lang w:val="fr"/>
              </w:rPr>
            </w:pPr>
            <w:r w:rsidRPr="0051047E">
              <w:rPr>
                <w:rFonts w:ascii="Arial" w:eastAsia="Arial" w:hAnsi="Arial" w:cs="Arial"/>
                <w:color w:val="262626" w:themeColor="text1" w:themeTint="D9"/>
                <w:sz w:val="20"/>
                <w:szCs w:val="20"/>
                <w:lang w:val="fr"/>
              </w:rPr>
              <w:t>58</w:t>
            </w:r>
            <w:r>
              <w:rPr>
                <w:rFonts w:ascii="Arial" w:eastAsia="Arial" w:hAnsi="Arial" w:cs="Arial"/>
                <w:color w:val="262626" w:themeColor="text1" w:themeTint="D9"/>
                <w:sz w:val="20"/>
                <w:szCs w:val="20"/>
                <w:lang w:val="fr"/>
              </w:rPr>
              <w:t>%</w:t>
            </w:r>
          </w:p>
        </w:tc>
        <w:tc>
          <w:tcPr>
            <w:tcW w:w="5529" w:type="dxa"/>
            <w:shd w:val="clear" w:color="auto" w:fill="auto"/>
            <w:noWrap/>
            <w:vAlign w:val="bottom"/>
          </w:tcPr>
          <w:p w14:paraId="6BC2E8B2" w14:textId="77777777" w:rsidR="00A461C6" w:rsidRPr="0051047E" w:rsidRDefault="00A461C6" w:rsidP="002D4074">
            <w:pPr>
              <w:spacing w:after="0" w:line="240" w:lineRule="auto"/>
              <w:jc w:val="both"/>
              <w:rPr>
                <w:rFonts w:ascii="Arial" w:hAnsi="Arial" w:cs="Arial"/>
                <w:color w:val="262626" w:themeColor="text1" w:themeTint="D9"/>
                <w:sz w:val="20"/>
                <w:szCs w:val="20"/>
              </w:rPr>
            </w:pPr>
            <w:r w:rsidRPr="0051047E">
              <w:rPr>
                <w:rFonts w:ascii="Arial" w:hAnsi="Arial" w:cs="Arial"/>
                <w:color w:val="262626" w:themeColor="text1" w:themeTint="D9"/>
                <w:sz w:val="20"/>
                <w:szCs w:val="20"/>
              </w:rPr>
              <w:t xml:space="preserve">Plusieurs mesures du régulateur </w:t>
            </w:r>
            <w:r>
              <w:rPr>
                <w:rFonts w:ascii="Arial" w:hAnsi="Arial" w:cs="Arial"/>
                <w:color w:val="262626" w:themeColor="text1" w:themeTint="D9"/>
                <w:sz w:val="20"/>
                <w:szCs w:val="20"/>
              </w:rPr>
              <w:t>s</w:t>
            </w:r>
            <w:r w:rsidRPr="0051047E">
              <w:rPr>
                <w:rFonts w:ascii="Arial" w:hAnsi="Arial" w:cs="Arial"/>
                <w:color w:val="262626" w:themeColor="text1" w:themeTint="D9"/>
                <w:sz w:val="20"/>
                <w:szCs w:val="20"/>
              </w:rPr>
              <w:t xml:space="preserve">ont </w:t>
            </w:r>
            <w:proofErr w:type="gramStart"/>
            <w:r w:rsidRPr="0051047E">
              <w:rPr>
                <w:rFonts w:ascii="Arial" w:hAnsi="Arial" w:cs="Arial"/>
                <w:color w:val="262626" w:themeColor="text1" w:themeTint="D9"/>
                <w:sz w:val="20"/>
                <w:szCs w:val="20"/>
              </w:rPr>
              <w:t>tombé</w:t>
            </w:r>
            <w:r>
              <w:rPr>
                <w:rFonts w:ascii="Arial" w:hAnsi="Arial" w:cs="Arial"/>
                <w:color w:val="262626" w:themeColor="text1" w:themeTint="D9"/>
                <w:sz w:val="20"/>
                <w:szCs w:val="20"/>
              </w:rPr>
              <w:t>s</w:t>
            </w:r>
            <w:proofErr w:type="gramEnd"/>
            <w:r w:rsidRPr="0051047E">
              <w:rPr>
                <w:rFonts w:ascii="Arial" w:hAnsi="Arial" w:cs="Arial"/>
                <w:color w:val="262626" w:themeColor="text1" w:themeTint="D9"/>
                <w:sz w:val="20"/>
                <w:szCs w:val="20"/>
              </w:rPr>
              <w:t xml:space="preserve"> durant cette période </w:t>
            </w:r>
            <w:r w:rsidRPr="50CCE921">
              <w:rPr>
                <w:rFonts w:ascii="Arial" w:hAnsi="Arial" w:cs="Arial"/>
                <w:color w:val="262626" w:themeColor="text1" w:themeTint="D9"/>
                <w:sz w:val="20"/>
                <w:szCs w:val="20"/>
              </w:rPr>
              <w:t>de</w:t>
            </w:r>
            <w:r w:rsidRPr="0051047E">
              <w:rPr>
                <w:rFonts w:ascii="Arial" w:hAnsi="Arial" w:cs="Arial"/>
                <w:color w:val="262626" w:themeColor="text1" w:themeTint="D9"/>
                <w:sz w:val="20"/>
                <w:szCs w:val="20"/>
              </w:rPr>
              <w:t xml:space="preserve"> rapportage, ce qui a fait que les encadreurs des VSLA n’ont pas bien avancé. La dernière du mois de </w:t>
            </w:r>
            <w:r w:rsidRPr="50CCE921">
              <w:rPr>
                <w:rFonts w:ascii="Arial" w:hAnsi="Arial" w:cs="Arial"/>
                <w:color w:val="262626" w:themeColor="text1" w:themeTint="D9"/>
                <w:sz w:val="20"/>
                <w:szCs w:val="20"/>
              </w:rPr>
              <w:t>décembre 2023</w:t>
            </w:r>
            <w:r w:rsidRPr="0051047E">
              <w:rPr>
                <w:rFonts w:ascii="Arial" w:hAnsi="Arial" w:cs="Arial"/>
                <w:color w:val="262626" w:themeColor="text1" w:themeTint="D9"/>
                <w:sz w:val="20"/>
                <w:szCs w:val="20"/>
              </w:rPr>
              <w:t xml:space="preserve"> a finalement suspendu les toutes activités</w:t>
            </w:r>
            <w:r>
              <w:rPr>
                <w:rFonts w:ascii="Arial" w:hAnsi="Arial" w:cs="Arial"/>
                <w:color w:val="262626" w:themeColor="text1" w:themeTint="D9"/>
                <w:sz w:val="20"/>
                <w:szCs w:val="20"/>
              </w:rPr>
              <w:t>.</w:t>
            </w:r>
            <w:r w:rsidRPr="0051047E">
              <w:rPr>
                <w:rFonts w:ascii="Arial" w:hAnsi="Arial" w:cs="Arial"/>
                <w:color w:val="262626" w:themeColor="text1" w:themeTint="D9"/>
                <w:sz w:val="20"/>
                <w:szCs w:val="20"/>
              </w:rPr>
              <w:t xml:space="preserve"> </w:t>
            </w:r>
            <w:r>
              <w:rPr>
                <w:rFonts w:ascii="Arial" w:hAnsi="Arial" w:cs="Arial"/>
                <w:color w:val="262626" w:themeColor="text1" w:themeTint="D9"/>
                <w:sz w:val="20"/>
                <w:szCs w:val="20"/>
              </w:rPr>
              <w:t>L</w:t>
            </w:r>
            <w:r w:rsidRPr="0051047E">
              <w:rPr>
                <w:rFonts w:ascii="Arial" w:hAnsi="Arial" w:cs="Arial"/>
                <w:color w:val="262626" w:themeColor="text1" w:themeTint="D9"/>
                <w:sz w:val="20"/>
                <w:szCs w:val="20"/>
              </w:rPr>
              <w:t xml:space="preserve">es échanges continuent entre acteurs autour </w:t>
            </w:r>
            <w:r w:rsidRPr="50CCE921">
              <w:rPr>
                <w:rFonts w:ascii="Arial" w:hAnsi="Arial" w:cs="Arial"/>
                <w:color w:val="262626" w:themeColor="text1" w:themeTint="D9"/>
                <w:sz w:val="20"/>
                <w:szCs w:val="20"/>
              </w:rPr>
              <w:t>de</w:t>
            </w:r>
            <w:r w:rsidRPr="0051047E">
              <w:rPr>
                <w:rFonts w:ascii="Arial" w:hAnsi="Arial" w:cs="Arial"/>
                <w:color w:val="262626" w:themeColor="text1" w:themeTint="D9"/>
                <w:sz w:val="20"/>
                <w:szCs w:val="20"/>
              </w:rPr>
              <w:t xml:space="preserve"> </w:t>
            </w:r>
            <w:r w:rsidRPr="0051047E">
              <w:rPr>
                <w:rFonts w:ascii="Arial" w:hAnsi="Arial" w:cs="Arial"/>
                <w:bCs/>
                <w:color w:val="262626" w:themeColor="text1" w:themeTint="D9"/>
                <w:sz w:val="20"/>
                <w:szCs w:val="20"/>
              </w:rPr>
              <w:t>cette</w:t>
            </w:r>
            <w:r w:rsidRPr="0051047E">
              <w:rPr>
                <w:rFonts w:ascii="Arial" w:hAnsi="Arial" w:cs="Arial"/>
                <w:color w:val="262626" w:themeColor="text1" w:themeTint="D9"/>
                <w:sz w:val="20"/>
                <w:szCs w:val="20"/>
              </w:rPr>
              <w:t xml:space="preserve"> </w:t>
            </w:r>
            <w:r w:rsidRPr="50CCE921">
              <w:rPr>
                <w:rFonts w:ascii="Arial" w:hAnsi="Arial" w:cs="Arial"/>
                <w:color w:val="262626" w:themeColor="text1" w:themeTint="D9"/>
                <w:sz w:val="20"/>
                <w:szCs w:val="20"/>
              </w:rPr>
              <w:t>décision. Comme mesure d’adaptation, en collaboration avec d’autres acteurs du secteur, un cadre d’échange a été mis en place pour faire le plaidoyer auprès des décideur</w:t>
            </w:r>
            <w:r>
              <w:rPr>
                <w:rFonts w:ascii="Arial" w:hAnsi="Arial" w:cs="Arial"/>
                <w:color w:val="262626" w:themeColor="text1" w:themeTint="D9"/>
                <w:sz w:val="20"/>
                <w:szCs w:val="20"/>
              </w:rPr>
              <w:t>s</w:t>
            </w:r>
            <w:r w:rsidRPr="50CCE921">
              <w:rPr>
                <w:rFonts w:ascii="Arial" w:hAnsi="Arial" w:cs="Arial"/>
                <w:color w:val="262626" w:themeColor="text1" w:themeTint="D9"/>
                <w:sz w:val="20"/>
                <w:szCs w:val="20"/>
              </w:rPr>
              <w:t xml:space="preserve">. Parallèlement, avec nos partenaires, </w:t>
            </w:r>
            <w:r>
              <w:rPr>
                <w:rFonts w:ascii="Arial" w:hAnsi="Arial" w:cs="Arial"/>
                <w:color w:val="262626" w:themeColor="text1" w:themeTint="D9"/>
                <w:sz w:val="20"/>
                <w:szCs w:val="20"/>
              </w:rPr>
              <w:t>l</w:t>
            </w:r>
            <w:r w:rsidRPr="50CCE921">
              <w:rPr>
                <w:rFonts w:ascii="Arial" w:hAnsi="Arial" w:cs="Arial"/>
                <w:color w:val="262626" w:themeColor="text1" w:themeTint="D9"/>
                <w:sz w:val="20"/>
                <w:szCs w:val="20"/>
              </w:rPr>
              <w:t>’aspect groupe de caution solidaire nous a servi comme secours.</w:t>
            </w:r>
          </w:p>
        </w:tc>
      </w:tr>
      <w:tr w:rsidR="00A461C6" w:rsidRPr="00D54936" w14:paraId="74F86FC9" w14:textId="77777777" w:rsidTr="002D4074">
        <w:trPr>
          <w:trHeight w:val="669"/>
        </w:trPr>
        <w:tc>
          <w:tcPr>
            <w:tcW w:w="1756" w:type="dxa"/>
            <w:vMerge/>
            <w:vAlign w:val="center"/>
            <w:hideMark/>
          </w:tcPr>
          <w:p w14:paraId="716AA8B1" w14:textId="77777777" w:rsidR="00A461C6" w:rsidRPr="0051047E" w:rsidRDefault="00A461C6" w:rsidP="002D4074">
            <w:pPr>
              <w:spacing w:after="0" w:line="240" w:lineRule="auto"/>
              <w:rPr>
                <w:rFonts w:ascii="Arial" w:hAnsi="Arial" w:cs="Arial"/>
                <w:color w:val="262626" w:themeColor="text1" w:themeTint="D9"/>
                <w:sz w:val="20"/>
                <w:szCs w:val="20"/>
              </w:rPr>
            </w:pPr>
          </w:p>
        </w:tc>
        <w:tc>
          <w:tcPr>
            <w:tcW w:w="2193" w:type="dxa"/>
            <w:shd w:val="clear" w:color="auto" w:fill="auto"/>
            <w:vAlign w:val="center"/>
            <w:hideMark/>
          </w:tcPr>
          <w:p w14:paraId="23D68032" w14:textId="77777777" w:rsidR="00A461C6" w:rsidRPr="0051047E" w:rsidRDefault="00A461C6" w:rsidP="002D4074">
            <w:pPr>
              <w:spacing w:after="0" w:line="240" w:lineRule="auto"/>
              <w:rPr>
                <w:rFonts w:ascii="Arial" w:hAnsi="Arial" w:cs="Arial"/>
                <w:color w:val="262626" w:themeColor="text1" w:themeTint="D9"/>
                <w:sz w:val="20"/>
                <w:szCs w:val="20"/>
              </w:rPr>
            </w:pPr>
            <w:r w:rsidRPr="0051047E">
              <w:rPr>
                <w:rFonts w:ascii="Arial" w:hAnsi="Arial" w:cs="Arial"/>
                <w:color w:val="262626" w:themeColor="text1" w:themeTint="D9"/>
                <w:sz w:val="20"/>
                <w:szCs w:val="20"/>
                <w:lang w:val="fr-LU"/>
              </w:rPr>
              <w:t>Nouveaux membres des VSLA accèdent au crédit des IMF</w:t>
            </w:r>
          </w:p>
        </w:tc>
        <w:tc>
          <w:tcPr>
            <w:tcW w:w="1620" w:type="dxa"/>
            <w:shd w:val="clear" w:color="auto" w:fill="auto"/>
            <w:vAlign w:val="center"/>
            <w:hideMark/>
          </w:tcPr>
          <w:p w14:paraId="7700B53C" w14:textId="77777777" w:rsidR="00A461C6" w:rsidRPr="0051047E" w:rsidRDefault="00A461C6" w:rsidP="002D4074">
            <w:pPr>
              <w:spacing w:after="0" w:line="240" w:lineRule="auto"/>
              <w:jc w:val="right"/>
              <w:rPr>
                <w:rFonts w:ascii="Arial" w:hAnsi="Arial" w:cs="Arial"/>
                <w:color w:val="262626" w:themeColor="text1" w:themeTint="D9"/>
                <w:sz w:val="20"/>
                <w:szCs w:val="20"/>
              </w:rPr>
            </w:pPr>
            <w:r w:rsidRPr="0051047E">
              <w:rPr>
                <w:rFonts w:ascii="Arial" w:hAnsi="Arial" w:cs="Arial"/>
                <w:color w:val="262626" w:themeColor="text1" w:themeTint="D9"/>
                <w:sz w:val="20"/>
                <w:szCs w:val="20"/>
                <w:lang w:val="fr-LU"/>
              </w:rPr>
              <w:t>50</w:t>
            </w:r>
            <w:r>
              <w:rPr>
                <w:rFonts w:ascii="Arial" w:hAnsi="Arial" w:cs="Arial"/>
                <w:color w:val="262626" w:themeColor="text1" w:themeTint="D9"/>
                <w:sz w:val="20"/>
                <w:szCs w:val="20"/>
                <w:lang w:val="fr-LU"/>
              </w:rPr>
              <w:t xml:space="preserve"> </w:t>
            </w:r>
            <w:r w:rsidRPr="0051047E">
              <w:rPr>
                <w:rFonts w:ascii="Arial" w:hAnsi="Arial" w:cs="Arial"/>
                <w:color w:val="262626" w:themeColor="text1" w:themeTint="D9"/>
                <w:sz w:val="20"/>
                <w:szCs w:val="20"/>
                <w:lang w:val="fr-LU"/>
              </w:rPr>
              <w:t>000</w:t>
            </w:r>
          </w:p>
        </w:tc>
        <w:tc>
          <w:tcPr>
            <w:tcW w:w="1530" w:type="dxa"/>
            <w:shd w:val="clear" w:color="auto" w:fill="auto"/>
            <w:vAlign w:val="center"/>
          </w:tcPr>
          <w:p w14:paraId="7135AC0A" w14:textId="77777777" w:rsidR="00A461C6" w:rsidRPr="0051047E" w:rsidRDefault="00A461C6" w:rsidP="002D4074">
            <w:pPr>
              <w:spacing w:after="0" w:line="240" w:lineRule="auto"/>
              <w:jc w:val="right"/>
              <w:rPr>
                <w:rFonts w:ascii="Arial" w:hAnsi="Arial" w:cs="Arial"/>
                <w:color w:val="262626" w:themeColor="text1" w:themeTint="D9"/>
                <w:sz w:val="20"/>
                <w:szCs w:val="20"/>
              </w:rPr>
            </w:pPr>
            <w:r w:rsidRPr="0051047E">
              <w:rPr>
                <w:rFonts w:ascii="Arial" w:hAnsi="Arial" w:cs="Arial"/>
                <w:color w:val="262626" w:themeColor="text1" w:themeTint="D9"/>
                <w:sz w:val="20"/>
                <w:szCs w:val="20"/>
              </w:rPr>
              <w:t>17</w:t>
            </w:r>
            <w:r>
              <w:rPr>
                <w:rFonts w:ascii="Arial" w:hAnsi="Arial" w:cs="Arial"/>
                <w:color w:val="262626" w:themeColor="text1" w:themeTint="D9"/>
                <w:sz w:val="20"/>
                <w:szCs w:val="20"/>
              </w:rPr>
              <w:t xml:space="preserve"> </w:t>
            </w:r>
            <w:r w:rsidRPr="0051047E">
              <w:rPr>
                <w:rFonts w:ascii="Arial" w:hAnsi="Arial" w:cs="Arial"/>
                <w:color w:val="262626" w:themeColor="text1" w:themeTint="D9"/>
                <w:sz w:val="20"/>
                <w:szCs w:val="20"/>
              </w:rPr>
              <w:t>800</w:t>
            </w:r>
          </w:p>
        </w:tc>
        <w:tc>
          <w:tcPr>
            <w:tcW w:w="1170" w:type="dxa"/>
            <w:shd w:val="clear" w:color="auto" w:fill="auto"/>
            <w:vAlign w:val="center"/>
          </w:tcPr>
          <w:p w14:paraId="3315F58B" w14:textId="77777777" w:rsidR="00A461C6" w:rsidRPr="0051047E" w:rsidRDefault="00A461C6" w:rsidP="002D4074">
            <w:pPr>
              <w:spacing w:after="0" w:line="240" w:lineRule="auto"/>
              <w:jc w:val="right"/>
              <w:rPr>
                <w:rFonts w:ascii="Arial" w:hAnsi="Arial" w:cs="Arial"/>
                <w:color w:val="262626" w:themeColor="text1" w:themeTint="D9"/>
                <w:sz w:val="20"/>
                <w:szCs w:val="20"/>
              </w:rPr>
            </w:pPr>
            <w:r w:rsidRPr="0051047E">
              <w:rPr>
                <w:rFonts w:ascii="Arial" w:hAnsi="Arial" w:cs="Arial"/>
                <w:color w:val="262626" w:themeColor="text1" w:themeTint="D9"/>
                <w:sz w:val="20"/>
                <w:szCs w:val="20"/>
                <w:lang w:val="en-US"/>
              </w:rPr>
              <w:t>3</w:t>
            </w:r>
            <w:r>
              <w:rPr>
                <w:rFonts w:ascii="Arial" w:hAnsi="Arial" w:cs="Arial"/>
                <w:color w:val="262626" w:themeColor="text1" w:themeTint="D9"/>
                <w:sz w:val="20"/>
                <w:szCs w:val="20"/>
                <w:lang w:val="en-US"/>
              </w:rPr>
              <w:t xml:space="preserve"> </w:t>
            </w:r>
            <w:r w:rsidRPr="0051047E">
              <w:rPr>
                <w:rFonts w:ascii="Arial" w:hAnsi="Arial" w:cs="Arial"/>
                <w:color w:val="262626" w:themeColor="text1" w:themeTint="D9"/>
                <w:sz w:val="20"/>
                <w:szCs w:val="20"/>
                <w:lang w:val="en-US"/>
              </w:rPr>
              <w:t xml:space="preserve">692 </w:t>
            </w:r>
          </w:p>
        </w:tc>
        <w:tc>
          <w:tcPr>
            <w:tcW w:w="1512" w:type="dxa"/>
            <w:shd w:val="clear" w:color="auto" w:fill="auto"/>
            <w:vAlign w:val="center"/>
          </w:tcPr>
          <w:p w14:paraId="6C799D5A" w14:textId="77777777" w:rsidR="00A461C6" w:rsidRPr="0051047E" w:rsidRDefault="00A461C6" w:rsidP="002D4074">
            <w:pPr>
              <w:spacing w:after="0" w:line="240" w:lineRule="auto"/>
              <w:jc w:val="right"/>
              <w:rPr>
                <w:rFonts w:ascii="Arial" w:hAnsi="Arial" w:cs="Arial"/>
                <w:color w:val="262626" w:themeColor="text1" w:themeTint="D9"/>
                <w:sz w:val="20"/>
                <w:szCs w:val="20"/>
              </w:rPr>
            </w:pPr>
            <w:r w:rsidRPr="0051047E">
              <w:rPr>
                <w:rFonts w:ascii="Arial" w:hAnsi="Arial" w:cs="Arial"/>
                <w:color w:val="262626" w:themeColor="text1" w:themeTint="D9"/>
                <w:sz w:val="20"/>
                <w:szCs w:val="20"/>
              </w:rPr>
              <w:t>21</w:t>
            </w:r>
            <w:r>
              <w:rPr>
                <w:rFonts w:ascii="Arial" w:hAnsi="Arial" w:cs="Arial"/>
                <w:color w:val="262626" w:themeColor="text1" w:themeTint="D9"/>
                <w:sz w:val="20"/>
                <w:szCs w:val="20"/>
              </w:rPr>
              <w:t>%</w:t>
            </w:r>
          </w:p>
        </w:tc>
        <w:tc>
          <w:tcPr>
            <w:tcW w:w="5529" w:type="dxa"/>
            <w:shd w:val="clear" w:color="auto" w:fill="auto"/>
            <w:noWrap/>
            <w:vAlign w:val="bottom"/>
          </w:tcPr>
          <w:p w14:paraId="109666F5" w14:textId="77777777" w:rsidR="00A461C6" w:rsidRPr="0051047E" w:rsidRDefault="00A461C6" w:rsidP="002D4074">
            <w:pPr>
              <w:spacing w:after="0" w:line="240" w:lineRule="auto"/>
              <w:rPr>
                <w:rFonts w:ascii="Arial" w:hAnsi="Arial" w:cs="Arial"/>
                <w:color w:val="262626" w:themeColor="text1" w:themeTint="D9"/>
                <w:sz w:val="20"/>
                <w:szCs w:val="20"/>
              </w:rPr>
            </w:pPr>
            <w:r w:rsidRPr="50CCE921">
              <w:rPr>
                <w:rFonts w:ascii="Arial" w:hAnsi="Arial" w:cs="Arial"/>
                <w:color w:val="262626" w:themeColor="text1" w:themeTint="D9"/>
                <w:sz w:val="20"/>
                <w:szCs w:val="20"/>
              </w:rPr>
              <w:t>Idem</w:t>
            </w:r>
          </w:p>
        </w:tc>
      </w:tr>
      <w:tr w:rsidR="00A461C6" w:rsidRPr="00D54936" w14:paraId="26D1CBD1" w14:textId="77777777" w:rsidTr="002D4074">
        <w:trPr>
          <w:trHeight w:val="500"/>
        </w:trPr>
        <w:tc>
          <w:tcPr>
            <w:tcW w:w="1756" w:type="dxa"/>
            <w:vMerge/>
            <w:vAlign w:val="center"/>
            <w:hideMark/>
          </w:tcPr>
          <w:p w14:paraId="79E5675B" w14:textId="77777777" w:rsidR="00A461C6" w:rsidRPr="0051047E" w:rsidRDefault="00A461C6" w:rsidP="002D4074">
            <w:pPr>
              <w:spacing w:after="0" w:line="240" w:lineRule="auto"/>
              <w:rPr>
                <w:rFonts w:ascii="Arial" w:hAnsi="Arial" w:cs="Arial"/>
                <w:color w:val="262626" w:themeColor="text1" w:themeTint="D9"/>
                <w:sz w:val="20"/>
                <w:szCs w:val="20"/>
              </w:rPr>
            </w:pPr>
          </w:p>
        </w:tc>
        <w:tc>
          <w:tcPr>
            <w:tcW w:w="2193" w:type="dxa"/>
            <w:shd w:val="clear" w:color="auto" w:fill="auto"/>
            <w:vAlign w:val="center"/>
            <w:hideMark/>
          </w:tcPr>
          <w:p w14:paraId="70BAF947" w14:textId="77777777" w:rsidR="00A461C6" w:rsidRPr="0051047E" w:rsidRDefault="00A461C6" w:rsidP="002D4074">
            <w:pPr>
              <w:spacing w:after="0" w:line="240" w:lineRule="auto"/>
              <w:rPr>
                <w:rFonts w:ascii="Arial" w:hAnsi="Arial" w:cs="Arial"/>
                <w:color w:val="262626" w:themeColor="text1" w:themeTint="D9"/>
                <w:sz w:val="20"/>
                <w:szCs w:val="20"/>
              </w:rPr>
            </w:pPr>
            <w:r w:rsidRPr="0051047E">
              <w:rPr>
                <w:rFonts w:ascii="Arial" w:hAnsi="Arial" w:cs="Arial"/>
                <w:color w:val="262626" w:themeColor="text1" w:themeTint="D9"/>
                <w:sz w:val="20"/>
                <w:szCs w:val="20"/>
                <w:lang w:val="fr-LU"/>
              </w:rPr>
              <w:t>Nouveaux membres des GCS accèdent au crédit</w:t>
            </w:r>
          </w:p>
        </w:tc>
        <w:tc>
          <w:tcPr>
            <w:tcW w:w="1620" w:type="dxa"/>
            <w:shd w:val="clear" w:color="auto" w:fill="auto"/>
            <w:vAlign w:val="center"/>
            <w:hideMark/>
          </w:tcPr>
          <w:p w14:paraId="4FFA164C" w14:textId="77777777" w:rsidR="00A461C6" w:rsidRPr="0051047E" w:rsidRDefault="00A461C6" w:rsidP="002D4074">
            <w:pPr>
              <w:spacing w:after="0" w:line="240" w:lineRule="auto"/>
              <w:jc w:val="right"/>
              <w:rPr>
                <w:rFonts w:ascii="Arial" w:hAnsi="Arial" w:cs="Arial"/>
                <w:color w:val="262626" w:themeColor="text1" w:themeTint="D9"/>
                <w:sz w:val="20"/>
                <w:szCs w:val="20"/>
              </w:rPr>
            </w:pPr>
            <w:r w:rsidRPr="0051047E">
              <w:rPr>
                <w:rFonts w:ascii="Arial" w:hAnsi="Arial" w:cs="Arial"/>
                <w:color w:val="262626" w:themeColor="text1" w:themeTint="D9"/>
                <w:sz w:val="20"/>
                <w:szCs w:val="20"/>
                <w:lang w:val="fr-LU"/>
              </w:rPr>
              <w:t>50</w:t>
            </w:r>
            <w:r>
              <w:rPr>
                <w:rFonts w:ascii="Arial" w:hAnsi="Arial" w:cs="Arial"/>
                <w:color w:val="262626" w:themeColor="text1" w:themeTint="D9"/>
                <w:sz w:val="20"/>
                <w:szCs w:val="20"/>
                <w:lang w:val="fr-LU"/>
              </w:rPr>
              <w:t xml:space="preserve"> </w:t>
            </w:r>
            <w:r w:rsidRPr="0051047E">
              <w:rPr>
                <w:rFonts w:ascii="Arial" w:hAnsi="Arial" w:cs="Arial"/>
                <w:color w:val="262626" w:themeColor="text1" w:themeTint="D9"/>
                <w:sz w:val="20"/>
                <w:szCs w:val="20"/>
                <w:lang w:val="fr-LU"/>
              </w:rPr>
              <w:t>000</w:t>
            </w:r>
          </w:p>
        </w:tc>
        <w:tc>
          <w:tcPr>
            <w:tcW w:w="1530" w:type="dxa"/>
            <w:shd w:val="clear" w:color="auto" w:fill="auto"/>
            <w:vAlign w:val="center"/>
          </w:tcPr>
          <w:p w14:paraId="4836450A" w14:textId="77777777" w:rsidR="00A461C6" w:rsidRPr="0051047E" w:rsidRDefault="00A461C6" w:rsidP="002D4074">
            <w:pPr>
              <w:spacing w:after="0" w:line="240" w:lineRule="auto"/>
              <w:jc w:val="right"/>
              <w:rPr>
                <w:rFonts w:ascii="Arial" w:hAnsi="Arial" w:cs="Arial"/>
                <w:color w:val="262626" w:themeColor="text1" w:themeTint="D9"/>
                <w:sz w:val="20"/>
                <w:szCs w:val="20"/>
              </w:rPr>
            </w:pPr>
            <w:r w:rsidRPr="0051047E">
              <w:rPr>
                <w:rFonts w:ascii="Arial" w:hAnsi="Arial" w:cs="Arial"/>
                <w:color w:val="262626" w:themeColor="text1" w:themeTint="D9"/>
                <w:sz w:val="20"/>
                <w:szCs w:val="20"/>
              </w:rPr>
              <w:t>17</w:t>
            </w:r>
            <w:r>
              <w:rPr>
                <w:rFonts w:ascii="Arial" w:hAnsi="Arial" w:cs="Arial"/>
                <w:color w:val="262626" w:themeColor="text1" w:themeTint="D9"/>
                <w:sz w:val="20"/>
                <w:szCs w:val="20"/>
              </w:rPr>
              <w:t xml:space="preserve"> </w:t>
            </w:r>
            <w:r w:rsidRPr="0051047E">
              <w:rPr>
                <w:rFonts w:ascii="Arial" w:hAnsi="Arial" w:cs="Arial"/>
                <w:color w:val="262626" w:themeColor="text1" w:themeTint="D9"/>
                <w:sz w:val="20"/>
                <w:szCs w:val="20"/>
              </w:rPr>
              <w:t>800</w:t>
            </w:r>
          </w:p>
        </w:tc>
        <w:tc>
          <w:tcPr>
            <w:tcW w:w="1170" w:type="dxa"/>
            <w:shd w:val="clear" w:color="auto" w:fill="auto"/>
            <w:vAlign w:val="center"/>
          </w:tcPr>
          <w:p w14:paraId="65036BE5" w14:textId="77777777" w:rsidR="00A461C6" w:rsidRPr="0051047E" w:rsidRDefault="00A461C6" w:rsidP="002D4074">
            <w:pPr>
              <w:spacing w:after="0" w:line="240" w:lineRule="auto"/>
              <w:jc w:val="right"/>
              <w:rPr>
                <w:rFonts w:ascii="Arial" w:hAnsi="Arial" w:cs="Arial"/>
                <w:color w:val="262626" w:themeColor="text1" w:themeTint="D9"/>
                <w:sz w:val="20"/>
                <w:szCs w:val="20"/>
              </w:rPr>
            </w:pPr>
            <w:r w:rsidRPr="0051047E">
              <w:rPr>
                <w:rFonts w:ascii="Arial" w:hAnsi="Arial" w:cs="Arial"/>
                <w:color w:val="262626" w:themeColor="text1" w:themeTint="D9"/>
                <w:sz w:val="20"/>
                <w:szCs w:val="20"/>
                <w:lang w:val="en-US"/>
              </w:rPr>
              <w:t>12</w:t>
            </w:r>
            <w:r>
              <w:rPr>
                <w:rFonts w:ascii="Arial" w:hAnsi="Arial" w:cs="Arial"/>
                <w:color w:val="262626" w:themeColor="text1" w:themeTint="D9"/>
                <w:sz w:val="20"/>
                <w:szCs w:val="20"/>
                <w:lang w:val="en-US"/>
              </w:rPr>
              <w:t xml:space="preserve"> </w:t>
            </w:r>
            <w:r w:rsidRPr="0051047E">
              <w:rPr>
                <w:rFonts w:ascii="Arial" w:hAnsi="Arial" w:cs="Arial"/>
                <w:color w:val="262626" w:themeColor="text1" w:themeTint="D9"/>
                <w:sz w:val="20"/>
                <w:szCs w:val="20"/>
                <w:lang w:val="en-US"/>
              </w:rPr>
              <w:t xml:space="preserve">848 </w:t>
            </w:r>
          </w:p>
        </w:tc>
        <w:tc>
          <w:tcPr>
            <w:tcW w:w="1512" w:type="dxa"/>
            <w:shd w:val="clear" w:color="auto" w:fill="auto"/>
            <w:vAlign w:val="center"/>
          </w:tcPr>
          <w:p w14:paraId="4F4F132C" w14:textId="77777777" w:rsidR="00A461C6" w:rsidRPr="0051047E" w:rsidRDefault="00A461C6" w:rsidP="002D4074">
            <w:pPr>
              <w:spacing w:after="0" w:line="240" w:lineRule="auto"/>
              <w:jc w:val="right"/>
              <w:rPr>
                <w:rFonts w:ascii="Arial" w:hAnsi="Arial" w:cs="Arial"/>
                <w:color w:val="262626" w:themeColor="text1" w:themeTint="D9"/>
                <w:sz w:val="20"/>
                <w:szCs w:val="20"/>
              </w:rPr>
            </w:pPr>
            <w:r w:rsidRPr="0051047E">
              <w:rPr>
                <w:rFonts w:ascii="Arial" w:hAnsi="Arial" w:cs="Arial"/>
                <w:color w:val="262626" w:themeColor="text1" w:themeTint="D9"/>
                <w:sz w:val="20"/>
                <w:szCs w:val="20"/>
              </w:rPr>
              <w:t>72</w:t>
            </w:r>
            <w:r>
              <w:rPr>
                <w:rFonts w:ascii="Arial" w:hAnsi="Arial" w:cs="Arial"/>
                <w:color w:val="262626" w:themeColor="text1" w:themeTint="D9"/>
                <w:sz w:val="20"/>
                <w:szCs w:val="20"/>
              </w:rPr>
              <w:t>%</w:t>
            </w:r>
          </w:p>
        </w:tc>
        <w:tc>
          <w:tcPr>
            <w:tcW w:w="5529" w:type="dxa"/>
            <w:shd w:val="clear" w:color="auto" w:fill="auto"/>
            <w:noWrap/>
            <w:vAlign w:val="bottom"/>
          </w:tcPr>
          <w:p w14:paraId="279F56CD" w14:textId="77777777" w:rsidR="00A461C6" w:rsidRPr="0051047E" w:rsidRDefault="00A461C6" w:rsidP="002D4074">
            <w:pPr>
              <w:spacing w:after="0" w:line="240" w:lineRule="auto"/>
              <w:jc w:val="both"/>
              <w:rPr>
                <w:rFonts w:ascii="Arial" w:hAnsi="Arial" w:cs="Arial"/>
                <w:color w:val="262626" w:themeColor="text1" w:themeTint="D9"/>
                <w:sz w:val="20"/>
                <w:szCs w:val="20"/>
              </w:rPr>
            </w:pPr>
            <w:r>
              <w:rPr>
                <w:rFonts w:ascii="Arial" w:hAnsi="Arial" w:cs="Arial"/>
                <w:color w:val="262626" w:themeColor="text1" w:themeTint="D9"/>
                <w:sz w:val="20"/>
                <w:szCs w:val="20"/>
              </w:rPr>
              <w:t>Ce taux est du fait que durant cette période de rapportage, nous avons eu des défis comme : carence du carburant et la politique de démonétisation prise par la BRB.</w:t>
            </w:r>
          </w:p>
        </w:tc>
      </w:tr>
      <w:tr w:rsidR="00A461C6" w:rsidRPr="00D54936" w14:paraId="45CC6ADE" w14:textId="77777777" w:rsidTr="002D4074">
        <w:trPr>
          <w:trHeight w:val="411"/>
        </w:trPr>
        <w:tc>
          <w:tcPr>
            <w:tcW w:w="1756" w:type="dxa"/>
            <w:vMerge/>
            <w:vAlign w:val="center"/>
            <w:hideMark/>
          </w:tcPr>
          <w:p w14:paraId="5984E67E" w14:textId="77777777" w:rsidR="00A461C6" w:rsidRPr="0051047E" w:rsidRDefault="00A461C6" w:rsidP="002D4074">
            <w:pPr>
              <w:spacing w:after="0" w:line="240" w:lineRule="auto"/>
              <w:rPr>
                <w:rFonts w:ascii="Arial" w:hAnsi="Arial" w:cs="Arial"/>
                <w:color w:val="262626" w:themeColor="text1" w:themeTint="D9"/>
                <w:sz w:val="20"/>
                <w:szCs w:val="20"/>
              </w:rPr>
            </w:pPr>
          </w:p>
        </w:tc>
        <w:tc>
          <w:tcPr>
            <w:tcW w:w="2193" w:type="dxa"/>
            <w:shd w:val="clear" w:color="auto" w:fill="auto"/>
            <w:vAlign w:val="center"/>
            <w:hideMark/>
          </w:tcPr>
          <w:p w14:paraId="5A8B5A3F" w14:textId="77777777" w:rsidR="00A461C6" w:rsidRPr="0051047E" w:rsidRDefault="00A461C6" w:rsidP="002D4074">
            <w:pPr>
              <w:spacing w:after="0" w:line="240" w:lineRule="auto"/>
              <w:rPr>
                <w:rFonts w:ascii="Arial" w:hAnsi="Arial" w:cs="Arial"/>
                <w:color w:val="262626" w:themeColor="text1" w:themeTint="D9"/>
                <w:sz w:val="20"/>
                <w:szCs w:val="20"/>
              </w:rPr>
            </w:pPr>
            <w:r w:rsidRPr="0051047E">
              <w:rPr>
                <w:rFonts w:ascii="Arial" w:hAnsi="Arial" w:cs="Arial"/>
                <w:color w:val="262626" w:themeColor="text1" w:themeTint="D9"/>
                <w:sz w:val="20"/>
                <w:szCs w:val="20"/>
                <w:lang w:val="fr-LU"/>
              </w:rPr>
              <w:t># IMF signent/renouvellent les contrats de partenariat avec le projet</w:t>
            </w:r>
          </w:p>
        </w:tc>
        <w:tc>
          <w:tcPr>
            <w:tcW w:w="1620" w:type="dxa"/>
            <w:shd w:val="clear" w:color="auto" w:fill="auto"/>
            <w:vAlign w:val="center"/>
            <w:hideMark/>
          </w:tcPr>
          <w:p w14:paraId="2F1200FF" w14:textId="77777777" w:rsidR="00A461C6" w:rsidRPr="0051047E" w:rsidRDefault="00A461C6" w:rsidP="002D4074">
            <w:pPr>
              <w:spacing w:after="0" w:line="240" w:lineRule="auto"/>
              <w:jc w:val="right"/>
              <w:rPr>
                <w:rFonts w:ascii="Arial" w:hAnsi="Arial" w:cs="Arial"/>
                <w:color w:val="262626" w:themeColor="text1" w:themeTint="D9"/>
                <w:sz w:val="20"/>
                <w:szCs w:val="20"/>
              </w:rPr>
            </w:pPr>
            <w:r w:rsidRPr="0051047E">
              <w:rPr>
                <w:rFonts w:ascii="Arial" w:hAnsi="Arial" w:cs="Arial"/>
                <w:color w:val="262626" w:themeColor="text1" w:themeTint="D9"/>
                <w:sz w:val="20"/>
                <w:szCs w:val="20"/>
                <w:lang w:val="fr-LU"/>
              </w:rPr>
              <w:t>12</w:t>
            </w:r>
          </w:p>
        </w:tc>
        <w:tc>
          <w:tcPr>
            <w:tcW w:w="1530" w:type="dxa"/>
            <w:shd w:val="clear" w:color="auto" w:fill="auto"/>
            <w:vAlign w:val="center"/>
          </w:tcPr>
          <w:p w14:paraId="60BD15DE" w14:textId="77777777" w:rsidR="00A461C6" w:rsidRPr="0051047E" w:rsidRDefault="00A461C6" w:rsidP="002D4074">
            <w:pPr>
              <w:spacing w:after="0" w:line="240" w:lineRule="auto"/>
              <w:jc w:val="right"/>
              <w:rPr>
                <w:rFonts w:ascii="Arial" w:hAnsi="Arial" w:cs="Arial"/>
                <w:color w:val="262626" w:themeColor="text1" w:themeTint="D9"/>
                <w:sz w:val="20"/>
                <w:szCs w:val="20"/>
              </w:rPr>
            </w:pPr>
            <w:r w:rsidRPr="0051047E">
              <w:rPr>
                <w:rFonts w:ascii="Arial" w:hAnsi="Arial" w:cs="Arial"/>
                <w:color w:val="262626" w:themeColor="text1" w:themeTint="D9"/>
                <w:sz w:val="20"/>
                <w:szCs w:val="20"/>
              </w:rPr>
              <w:t xml:space="preserve">    </w:t>
            </w:r>
            <w:r>
              <w:rPr>
                <w:rFonts w:ascii="Arial" w:hAnsi="Arial" w:cs="Arial"/>
                <w:color w:val="262626" w:themeColor="text1" w:themeTint="D9"/>
                <w:sz w:val="20"/>
                <w:szCs w:val="20"/>
              </w:rPr>
              <w:t>10</w:t>
            </w:r>
          </w:p>
        </w:tc>
        <w:tc>
          <w:tcPr>
            <w:tcW w:w="1170" w:type="dxa"/>
            <w:shd w:val="clear" w:color="auto" w:fill="auto"/>
            <w:vAlign w:val="center"/>
          </w:tcPr>
          <w:p w14:paraId="50FCE0AE" w14:textId="77777777" w:rsidR="00A461C6" w:rsidRPr="0051047E" w:rsidRDefault="00A461C6" w:rsidP="002D4074">
            <w:pPr>
              <w:spacing w:after="0" w:line="240" w:lineRule="auto"/>
              <w:jc w:val="right"/>
              <w:rPr>
                <w:rFonts w:ascii="Arial" w:hAnsi="Arial" w:cs="Arial"/>
                <w:color w:val="262626" w:themeColor="text1" w:themeTint="D9"/>
                <w:sz w:val="20"/>
                <w:szCs w:val="20"/>
              </w:rPr>
            </w:pPr>
            <w:r w:rsidRPr="0051047E">
              <w:rPr>
                <w:rFonts w:ascii="Arial" w:hAnsi="Arial" w:cs="Arial"/>
                <w:color w:val="262626" w:themeColor="text1" w:themeTint="D9"/>
                <w:sz w:val="20"/>
                <w:szCs w:val="20"/>
                <w:lang w:val="fr-LU"/>
              </w:rPr>
              <w:t>12</w:t>
            </w:r>
          </w:p>
        </w:tc>
        <w:tc>
          <w:tcPr>
            <w:tcW w:w="1512" w:type="dxa"/>
            <w:shd w:val="clear" w:color="auto" w:fill="auto"/>
            <w:vAlign w:val="center"/>
          </w:tcPr>
          <w:p w14:paraId="104456CB" w14:textId="77777777" w:rsidR="00A461C6" w:rsidRPr="0051047E" w:rsidRDefault="00A461C6" w:rsidP="002D4074">
            <w:pPr>
              <w:spacing w:after="0" w:line="240" w:lineRule="auto"/>
              <w:jc w:val="right"/>
              <w:rPr>
                <w:rFonts w:ascii="Arial" w:hAnsi="Arial" w:cs="Arial"/>
                <w:color w:val="262626" w:themeColor="text1" w:themeTint="D9"/>
                <w:sz w:val="20"/>
                <w:szCs w:val="20"/>
              </w:rPr>
            </w:pPr>
            <w:r>
              <w:rPr>
                <w:rFonts w:ascii="Arial" w:hAnsi="Arial" w:cs="Arial"/>
                <w:color w:val="262626" w:themeColor="text1" w:themeTint="D9"/>
                <w:sz w:val="20"/>
                <w:szCs w:val="20"/>
              </w:rPr>
              <w:t>120%</w:t>
            </w:r>
          </w:p>
        </w:tc>
        <w:tc>
          <w:tcPr>
            <w:tcW w:w="5529" w:type="dxa"/>
            <w:shd w:val="clear" w:color="auto" w:fill="auto"/>
            <w:noWrap/>
            <w:vAlign w:val="bottom"/>
          </w:tcPr>
          <w:p w14:paraId="28C26C95" w14:textId="77777777" w:rsidR="00A461C6" w:rsidRPr="0051047E" w:rsidRDefault="00A461C6" w:rsidP="002D4074">
            <w:pPr>
              <w:spacing w:after="0" w:line="240" w:lineRule="auto"/>
              <w:jc w:val="both"/>
              <w:rPr>
                <w:rFonts w:ascii="Arial" w:hAnsi="Arial" w:cs="Arial"/>
                <w:color w:val="262626" w:themeColor="text1" w:themeTint="D9"/>
                <w:sz w:val="20"/>
                <w:szCs w:val="20"/>
              </w:rPr>
            </w:pPr>
            <w:r w:rsidRPr="02031F28">
              <w:rPr>
                <w:rFonts w:ascii="Arial" w:hAnsi="Arial" w:cs="Arial"/>
                <w:color w:val="262626" w:themeColor="text1" w:themeTint="D9"/>
                <w:sz w:val="20"/>
                <w:szCs w:val="20"/>
              </w:rPr>
              <w:t xml:space="preserve">Pour être inclusif, le projet a recruté 3 jeunes IMF pour participer dans le partenariat engagé dans la finance rurale et implantées dans les provinces prioritaires du projet. Une IMF qui n’a pas pu respecter les clauses contractuelles concernant la gestion budgétaire a été </w:t>
            </w:r>
            <w:r>
              <w:rPr>
                <w:rFonts w:ascii="Arial" w:hAnsi="Arial" w:cs="Arial"/>
                <w:color w:val="262626" w:themeColor="text1" w:themeTint="D9"/>
                <w:sz w:val="20"/>
                <w:szCs w:val="20"/>
              </w:rPr>
              <w:t>rayé</w:t>
            </w:r>
            <w:r>
              <w:rPr>
                <w:rFonts w:ascii="Corbel" w:hAnsi="Corbel"/>
                <w:lang w:val="fr-BE"/>
              </w:rPr>
              <w:t>e</w:t>
            </w:r>
            <w:r w:rsidRPr="02031F28">
              <w:rPr>
                <w:rFonts w:ascii="Arial" w:hAnsi="Arial" w:cs="Arial"/>
                <w:color w:val="262626" w:themeColor="text1" w:themeTint="D9"/>
                <w:sz w:val="20"/>
                <w:szCs w:val="20"/>
              </w:rPr>
              <w:t xml:space="preserve"> de la liste des partenaires.</w:t>
            </w:r>
          </w:p>
        </w:tc>
      </w:tr>
      <w:tr w:rsidR="00A461C6" w:rsidRPr="00D54936" w14:paraId="2563B299" w14:textId="77777777" w:rsidTr="002D4074">
        <w:trPr>
          <w:trHeight w:val="411"/>
        </w:trPr>
        <w:tc>
          <w:tcPr>
            <w:tcW w:w="1756" w:type="dxa"/>
            <w:vAlign w:val="center"/>
          </w:tcPr>
          <w:p w14:paraId="4E2C9F37" w14:textId="77777777" w:rsidR="00A461C6" w:rsidRPr="0051047E" w:rsidRDefault="00A461C6" w:rsidP="002D4074">
            <w:pPr>
              <w:spacing w:after="0" w:line="240" w:lineRule="auto"/>
              <w:rPr>
                <w:rFonts w:ascii="Arial" w:hAnsi="Arial" w:cs="Arial"/>
                <w:color w:val="262626" w:themeColor="text1" w:themeTint="D9"/>
                <w:sz w:val="20"/>
                <w:szCs w:val="20"/>
              </w:rPr>
            </w:pPr>
          </w:p>
        </w:tc>
        <w:tc>
          <w:tcPr>
            <w:tcW w:w="2193" w:type="dxa"/>
            <w:shd w:val="clear" w:color="auto" w:fill="auto"/>
            <w:vAlign w:val="center"/>
          </w:tcPr>
          <w:p w14:paraId="20E4CF48" w14:textId="77777777" w:rsidR="00A461C6" w:rsidRPr="0051047E" w:rsidRDefault="00A461C6" w:rsidP="002D4074">
            <w:pPr>
              <w:spacing w:after="0" w:line="240" w:lineRule="auto"/>
              <w:rPr>
                <w:rFonts w:ascii="Arial" w:hAnsi="Arial" w:cs="Arial"/>
                <w:color w:val="262626" w:themeColor="text1" w:themeTint="D9"/>
                <w:sz w:val="20"/>
                <w:szCs w:val="20"/>
                <w:lang w:val="fr-LU"/>
              </w:rPr>
            </w:pPr>
            <w:proofErr w:type="spellStart"/>
            <w:r w:rsidRPr="0051047E">
              <w:rPr>
                <w:rFonts w:ascii="Arial" w:hAnsi="Arial" w:cs="Arial"/>
                <w:color w:val="262626" w:themeColor="text1" w:themeTint="D9"/>
                <w:sz w:val="20"/>
                <w:szCs w:val="20"/>
                <w:lang w:val="fr-LU"/>
              </w:rPr>
              <w:t>Nouv</w:t>
            </w:r>
            <w:proofErr w:type="spellEnd"/>
            <w:r w:rsidRPr="0051047E">
              <w:rPr>
                <w:rFonts w:ascii="Arial" w:hAnsi="Arial" w:cs="Arial"/>
                <w:color w:val="262626" w:themeColor="text1" w:themeTint="D9"/>
                <w:sz w:val="20"/>
                <w:szCs w:val="20"/>
              </w:rPr>
              <w:t>eaux produits ruraux développés/adaptés</w:t>
            </w:r>
          </w:p>
        </w:tc>
        <w:tc>
          <w:tcPr>
            <w:tcW w:w="11361" w:type="dxa"/>
            <w:gridSpan w:val="5"/>
            <w:shd w:val="clear" w:color="auto" w:fill="auto"/>
            <w:vAlign w:val="center"/>
          </w:tcPr>
          <w:p w14:paraId="04F0CFE2" w14:textId="77777777" w:rsidR="00A461C6" w:rsidRPr="0051047E" w:rsidRDefault="00A461C6" w:rsidP="002D4074">
            <w:pPr>
              <w:spacing w:after="0" w:line="240" w:lineRule="auto"/>
              <w:rPr>
                <w:rFonts w:ascii="Arial" w:hAnsi="Arial" w:cs="Arial"/>
                <w:color w:val="262626" w:themeColor="text1" w:themeTint="D9"/>
                <w:sz w:val="20"/>
                <w:szCs w:val="20"/>
              </w:rPr>
            </w:pPr>
          </w:p>
        </w:tc>
      </w:tr>
      <w:tr w:rsidR="00A461C6" w:rsidRPr="00D54936" w14:paraId="3B7B12C8" w14:textId="77777777" w:rsidTr="002D4074">
        <w:trPr>
          <w:trHeight w:val="411"/>
        </w:trPr>
        <w:tc>
          <w:tcPr>
            <w:tcW w:w="1756" w:type="dxa"/>
            <w:vAlign w:val="center"/>
          </w:tcPr>
          <w:p w14:paraId="7CC75279" w14:textId="77777777" w:rsidR="00A461C6" w:rsidRPr="0051047E" w:rsidRDefault="00A461C6" w:rsidP="002D4074">
            <w:pPr>
              <w:spacing w:after="0" w:line="240" w:lineRule="auto"/>
              <w:rPr>
                <w:rFonts w:ascii="Arial" w:hAnsi="Arial" w:cs="Arial"/>
                <w:color w:val="262626" w:themeColor="text1" w:themeTint="D9"/>
                <w:sz w:val="20"/>
                <w:szCs w:val="20"/>
              </w:rPr>
            </w:pPr>
          </w:p>
        </w:tc>
        <w:tc>
          <w:tcPr>
            <w:tcW w:w="2193" w:type="dxa"/>
            <w:shd w:val="clear" w:color="auto" w:fill="auto"/>
            <w:vAlign w:val="center"/>
          </w:tcPr>
          <w:p w14:paraId="05B3E352" w14:textId="77777777" w:rsidR="00A461C6" w:rsidRPr="0051047E" w:rsidRDefault="00A461C6" w:rsidP="002D4074">
            <w:pPr>
              <w:spacing w:after="0" w:line="240" w:lineRule="auto"/>
              <w:rPr>
                <w:rFonts w:ascii="Arial" w:hAnsi="Arial" w:cs="Arial"/>
                <w:color w:val="262626" w:themeColor="text1" w:themeTint="D9"/>
                <w:sz w:val="20"/>
                <w:szCs w:val="20"/>
                <w:lang w:val="fr-LU"/>
              </w:rPr>
            </w:pPr>
            <w:r w:rsidRPr="0051047E">
              <w:rPr>
                <w:rFonts w:ascii="Arial" w:hAnsi="Arial" w:cs="Arial"/>
                <w:color w:val="262626" w:themeColor="text1" w:themeTint="D9"/>
                <w:sz w:val="20"/>
                <w:szCs w:val="20"/>
                <w:lang w:val="fr-LU"/>
              </w:rPr>
              <w:t># d</w:t>
            </w:r>
            <w:r w:rsidRPr="0051047E">
              <w:rPr>
                <w:rFonts w:ascii="Arial" w:hAnsi="Arial" w:cs="Arial"/>
                <w:color w:val="262626" w:themeColor="text1" w:themeTint="D9"/>
                <w:sz w:val="20"/>
                <w:szCs w:val="20"/>
              </w:rPr>
              <w:t xml:space="preserve">e nouveaux clients ruraux ayant accédé au </w:t>
            </w:r>
            <w:r w:rsidRPr="0051047E">
              <w:rPr>
                <w:rFonts w:ascii="Arial" w:hAnsi="Arial" w:cs="Arial"/>
                <w:color w:val="262626" w:themeColor="text1" w:themeTint="D9"/>
                <w:sz w:val="20"/>
                <w:szCs w:val="20"/>
                <w:lang w:val="fr-LU"/>
              </w:rPr>
              <w:t>Produit 3 f</w:t>
            </w:r>
            <w:proofErr w:type="spellStart"/>
            <w:r w:rsidRPr="0051047E">
              <w:rPr>
                <w:rFonts w:ascii="Arial" w:hAnsi="Arial" w:cs="Arial"/>
                <w:color w:val="262626" w:themeColor="text1" w:themeTint="D9"/>
                <w:sz w:val="20"/>
                <w:szCs w:val="20"/>
              </w:rPr>
              <w:t>emmes</w:t>
            </w:r>
            <w:proofErr w:type="spellEnd"/>
          </w:p>
        </w:tc>
        <w:tc>
          <w:tcPr>
            <w:tcW w:w="1620" w:type="dxa"/>
            <w:shd w:val="clear" w:color="auto" w:fill="auto"/>
            <w:vAlign w:val="center"/>
          </w:tcPr>
          <w:p w14:paraId="612481E6" w14:textId="77777777" w:rsidR="00A461C6" w:rsidRPr="0051047E" w:rsidRDefault="00A461C6" w:rsidP="002D4074">
            <w:pPr>
              <w:spacing w:after="0" w:line="240" w:lineRule="auto"/>
              <w:rPr>
                <w:rFonts w:ascii="Arial" w:hAnsi="Arial" w:cs="Arial"/>
                <w:color w:val="262626" w:themeColor="text1" w:themeTint="D9"/>
                <w:sz w:val="20"/>
                <w:szCs w:val="20"/>
                <w:lang w:val="fr-LU"/>
              </w:rPr>
            </w:pPr>
            <w:r w:rsidRPr="0051047E">
              <w:rPr>
                <w:rFonts w:ascii="Arial" w:hAnsi="Arial" w:cs="Arial"/>
                <w:color w:val="262626" w:themeColor="text1" w:themeTint="D9"/>
                <w:sz w:val="20"/>
                <w:szCs w:val="20"/>
                <w:lang w:val="fr-LU"/>
              </w:rPr>
              <w:t xml:space="preserve">         -</w:t>
            </w:r>
          </w:p>
        </w:tc>
        <w:tc>
          <w:tcPr>
            <w:tcW w:w="1530" w:type="dxa"/>
            <w:shd w:val="clear" w:color="auto" w:fill="auto"/>
            <w:vAlign w:val="center"/>
          </w:tcPr>
          <w:p w14:paraId="50984ED6" w14:textId="77777777" w:rsidR="00A461C6" w:rsidRPr="0051047E" w:rsidDel="001057AB" w:rsidRDefault="00A461C6" w:rsidP="002D4074">
            <w:pPr>
              <w:spacing w:after="0" w:line="240" w:lineRule="auto"/>
              <w:rPr>
                <w:rFonts w:ascii="Arial" w:hAnsi="Arial" w:cs="Arial"/>
                <w:color w:val="262626" w:themeColor="text1" w:themeTint="D9"/>
                <w:sz w:val="20"/>
                <w:szCs w:val="20"/>
                <w:lang w:val="fr-LU"/>
              </w:rPr>
            </w:pPr>
            <w:r w:rsidRPr="0051047E">
              <w:rPr>
                <w:rFonts w:ascii="Arial" w:hAnsi="Arial" w:cs="Arial"/>
                <w:color w:val="262626" w:themeColor="text1" w:themeTint="D9"/>
                <w:sz w:val="20"/>
                <w:szCs w:val="20"/>
                <w:lang w:val="fr-LU"/>
              </w:rPr>
              <w:t xml:space="preserve">         -</w:t>
            </w:r>
          </w:p>
        </w:tc>
        <w:tc>
          <w:tcPr>
            <w:tcW w:w="1170" w:type="dxa"/>
            <w:shd w:val="clear" w:color="auto" w:fill="auto"/>
            <w:vAlign w:val="center"/>
          </w:tcPr>
          <w:p w14:paraId="7E15525D" w14:textId="77777777" w:rsidR="00A461C6" w:rsidRPr="0051047E" w:rsidRDefault="00A461C6" w:rsidP="002D4074">
            <w:pPr>
              <w:spacing w:after="0" w:line="240" w:lineRule="auto"/>
              <w:rPr>
                <w:rFonts w:ascii="Arial" w:hAnsi="Arial" w:cs="Arial"/>
                <w:color w:val="262626" w:themeColor="text1" w:themeTint="D9"/>
                <w:sz w:val="20"/>
                <w:szCs w:val="20"/>
                <w:lang w:val="fr-LU"/>
              </w:rPr>
            </w:pPr>
            <w:r w:rsidRPr="0051047E">
              <w:rPr>
                <w:rFonts w:ascii="Arial" w:hAnsi="Arial" w:cs="Arial"/>
                <w:color w:val="262626" w:themeColor="text1" w:themeTint="D9"/>
                <w:sz w:val="20"/>
                <w:szCs w:val="20"/>
                <w:lang w:val="fr-LU"/>
              </w:rPr>
              <w:t>30</w:t>
            </w:r>
          </w:p>
          <w:p w14:paraId="1305A5D6" w14:textId="77777777" w:rsidR="00A461C6" w:rsidRPr="0051047E" w:rsidDel="001057AB" w:rsidRDefault="00A461C6" w:rsidP="002D4074">
            <w:pPr>
              <w:spacing w:after="0" w:line="240" w:lineRule="auto"/>
              <w:rPr>
                <w:rFonts w:ascii="Arial" w:hAnsi="Arial" w:cs="Arial"/>
                <w:color w:val="262626" w:themeColor="text1" w:themeTint="D9"/>
                <w:sz w:val="20"/>
                <w:szCs w:val="20"/>
                <w:lang w:val="fr-LU"/>
              </w:rPr>
            </w:pPr>
          </w:p>
        </w:tc>
        <w:tc>
          <w:tcPr>
            <w:tcW w:w="1512" w:type="dxa"/>
            <w:shd w:val="clear" w:color="auto" w:fill="auto"/>
            <w:vAlign w:val="center"/>
          </w:tcPr>
          <w:p w14:paraId="5AB7B385" w14:textId="77777777" w:rsidR="00A461C6" w:rsidRPr="0051047E" w:rsidDel="0090685F" w:rsidRDefault="00A461C6" w:rsidP="002D4074">
            <w:pPr>
              <w:spacing w:after="0" w:line="240" w:lineRule="auto"/>
              <w:rPr>
                <w:rFonts w:ascii="Arial" w:hAnsi="Arial" w:cs="Arial"/>
                <w:color w:val="262626" w:themeColor="text1" w:themeTint="D9"/>
                <w:sz w:val="20"/>
                <w:szCs w:val="20"/>
                <w:lang w:val="fr-LU"/>
              </w:rPr>
            </w:pPr>
            <w:r>
              <w:rPr>
                <w:rFonts w:ascii="Arial" w:hAnsi="Arial" w:cs="Arial"/>
                <w:color w:val="262626" w:themeColor="text1" w:themeTint="D9"/>
                <w:sz w:val="20"/>
                <w:szCs w:val="20"/>
                <w:lang w:val="fr-LU"/>
              </w:rPr>
              <w:t>NA</w:t>
            </w:r>
          </w:p>
        </w:tc>
        <w:tc>
          <w:tcPr>
            <w:tcW w:w="5529" w:type="dxa"/>
            <w:shd w:val="clear" w:color="auto" w:fill="auto"/>
            <w:noWrap/>
            <w:vAlign w:val="bottom"/>
          </w:tcPr>
          <w:p w14:paraId="546ED8AC" w14:textId="77777777" w:rsidR="00A461C6" w:rsidRPr="0051047E" w:rsidRDefault="00A461C6" w:rsidP="002D4074">
            <w:pPr>
              <w:spacing w:after="0" w:line="240" w:lineRule="auto"/>
              <w:jc w:val="both"/>
              <w:rPr>
                <w:rFonts w:ascii="Arial" w:hAnsi="Arial" w:cs="Arial"/>
                <w:color w:val="262626" w:themeColor="text1" w:themeTint="D9"/>
                <w:sz w:val="20"/>
                <w:szCs w:val="20"/>
              </w:rPr>
            </w:pPr>
            <w:r>
              <w:rPr>
                <w:rFonts w:ascii="Arial" w:hAnsi="Arial" w:cs="Arial"/>
                <w:color w:val="262626" w:themeColor="text1" w:themeTint="D9"/>
                <w:sz w:val="20"/>
                <w:szCs w:val="20"/>
              </w:rPr>
              <w:t>Pas de cibles, c</w:t>
            </w:r>
            <w:r w:rsidRPr="0051047E">
              <w:rPr>
                <w:rFonts w:ascii="Arial" w:hAnsi="Arial" w:cs="Arial"/>
                <w:color w:val="262626" w:themeColor="text1" w:themeTint="D9"/>
                <w:sz w:val="20"/>
                <w:szCs w:val="20"/>
              </w:rPr>
              <w:t xml:space="preserve">’est un produit spécifique pour les femmes qui contribue à la résolution du problème de garanti soulevé pour cette catégorie de personne.  </w:t>
            </w:r>
          </w:p>
        </w:tc>
      </w:tr>
      <w:tr w:rsidR="00A461C6" w:rsidRPr="00D54936" w14:paraId="7261EE7D" w14:textId="77777777" w:rsidTr="002D4074">
        <w:trPr>
          <w:trHeight w:val="411"/>
        </w:trPr>
        <w:tc>
          <w:tcPr>
            <w:tcW w:w="1756" w:type="dxa"/>
            <w:vAlign w:val="center"/>
          </w:tcPr>
          <w:p w14:paraId="7B8C4364" w14:textId="77777777" w:rsidR="00A461C6" w:rsidRPr="0051047E" w:rsidRDefault="00A461C6" w:rsidP="002D4074">
            <w:pPr>
              <w:spacing w:after="0" w:line="240" w:lineRule="auto"/>
              <w:rPr>
                <w:rFonts w:ascii="Arial" w:hAnsi="Arial" w:cs="Arial"/>
                <w:color w:val="262626" w:themeColor="text1" w:themeTint="D9"/>
                <w:sz w:val="20"/>
                <w:szCs w:val="20"/>
              </w:rPr>
            </w:pPr>
          </w:p>
        </w:tc>
        <w:tc>
          <w:tcPr>
            <w:tcW w:w="2193" w:type="dxa"/>
            <w:shd w:val="clear" w:color="auto" w:fill="auto"/>
            <w:vAlign w:val="center"/>
          </w:tcPr>
          <w:p w14:paraId="4F025122" w14:textId="77777777" w:rsidR="00A461C6" w:rsidRPr="0051047E" w:rsidRDefault="00A461C6" w:rsidP="002D4074">
            <w:pPr>
              <w:spacing w:after="0" w:line="240" w:lineRule="auto"/>
              <w:rPr>
                <w:rFonts w:ascii="Arial" w:hAnsi="Arial" w:cs="Arial"/>
                <w:color w:val="262626" w:themeColor="text1" w:themeTint="D9"/>
                <w:sz w:val="20"/>
                <w:szCs w:val="20"/>
                <w:lang w:val="fr-LU"/>
              </w:rPr>
            </w:pPr>
            <w:r w:rsidRPr="0051047E">
              <w:rPr>
                <w:rFonts w:ascii="Arial" w:hAnsi="Arial" w:cs="Arial"/>
                <w:color w:val="262626" w:themeColor="text1" w:themeTint="D9"/>
                <w:sz w:val="20"/>
                <w:szCs w:val="20"/>
                <w:lang w:val="fr-LU"/>
              </w:rPr>
              <w:t># d</w:t>
            </w:r>
            <w:r w:rsidRPr="0051047E">
              <w:rPr>
                <w:rFonts w:ascii="Arial" w:hAnsi="Arial" w:cs="Arial"/>
                <w:color w:val="262626" w:themeColor="text1" w:themeTint="D9"/>
                <w:sz w:val="20"/>
                <w:szCs w:val="20"/>
              </w:rPr>
              <w:t xml:space="preserve">e nouveaux clients ruraux ayant accédé au </w:t>
            </w:r>
            <w:r w:rsidRPr="0051047E">
              <w:rPr>
                <w:rFonts w:ascii="Arial" w:hAnsi="Arial" w:cs="Arial"/>
                <w:color w:val="262626" w:themeColor="text1" w:themeTint="D9"/>
                <w:sz w:val="20"/>
                <w:szCs w:val="20"/>
                <w:lang w:val="fr-LU"/>
              </w:rPr>
              <w:t xml:space="preserve">Produit </w:t>
            </w:r>
            <w:proofErr w:type="spellStart"/>
            <w:r w:rsidRPr="0051047E">
              <w:rPr>
                <w:rFonts w:ascii="Arial" w:hAnsi="Arial" w:cs="Arial"/>
                <w:color w:val="262626" w:themeColor="text1" w:themeTint="D9"/>
                <w:sz w:val="20"/>
                <w:szCs w:val="20"/>
                <w:lang w:val="fr-LU"/>
              </w:rPr>
              <w:t>Kaz</w:t>
            </w:r>
            <w:proofErr w:type="spellEnd"/>
            <w:r w:rsidRPr="0051047E">
              <w:rPr>
                <w:rFonts w:ascii="Arial" w:hAnsi="Arial" w:cs="Arial"/>
                <w:color w:val="262626" w:themeColor="text1" w:themeTint="D9"/>
                <w:sz w:val="20"/>
                <w:szCs w:val="20"/>
              </w:rPr>
              <w:t xml:space="preserve">e </w:t>
            </w:r>
            <w:proofErr w:type="spellStart"/>
            <w:r w:rsidRPr="0051047E">
              <w:rPr>
                <w:rFonts w:ascii="Arial" w:hAnsi="Arial" w:cs="Arial"/>
                <w:color w:val="262626" w:themeColor="text1" w:themeTint="D9"/>
                <w:sz w:val="20"/>
                <w:szCs w:val="20"/>
              </w:rPr>
              <w:t>Kibondo</w:t>
            </w:r>
            <w:proofErr w:type="spellEnd"/>
          </w:p>
        </w:tc>
        <w:tc>
          <w:tcPr>
            <w:tcW w:w="1620" w:type="dxa"/>
            <w:shd w:val="clear" w:color="auto" w:fill="auto"/>
            <w:vAlign w:val="center"/>
          </w:tcPr>
          <w:p w14:paraId="26EF5E4B" w14:textId="77777777" w:rsidR="00A461C6" w:rsidRPr="0051047E" w:rsidRDefault="00A461C6" w:rsidP="002D4074">
            <w:pPr>
              <w:spacing w:after="0" w:line="240" w:lineRule="auto"/>
              <w:rPr>
                <w:rFonts w:ascii="Arial" w:hAnsi="Arial" w:cs="Arial"/>
                <w:color w:val="262626" w:themeColor="text1" w:themeTint="D9"/>
                <w:sz w:val="20"/>
                <w:szCs w:val="20"/>
                <w:lang w:val="fr-LU"/>
              </w:rPr>
            </w:pPr>
            <w:r w:rsidRPr="0051047E">
              <w:rPr>
                <w:rFonts w:ascii="Arial" w:hAnsi="Arial" w:cs="Arial"/>
                <w:color w:val="262626" w:themeColor="text1" w:themeTint="D9"/>
                <w:sz w:val="20"/>
                <w:szCs w:val="20"/>
                <w:lang w:val="fr-LU"/>
              </w:rPr>
              <w:t xml:space="preserve">      -</w:t>
            </w:r>
          </w:p>
        </w:tc>
        <w:tc>
          <w:tcPr>
            <w:tcW w:w="1530" w:type="dxa"/>
            <w:shd w:val="clear" w:color="auto" w:fill="auto"/>
            <w:vAlign w:val="center"/>
          </w:tcPr>
          <w:p w14:paraId="48012E06" w14:textId="77777777" w:rsidR="00A461C6" w:rsidRPr="0051047E" w:rsidDel="001057AB" w:rsidRDefault="00A461C6" w:rsidP="002D4074">
            <w:pPr>
              <w:spacing w:after="0" w:line="240" w:lineRule="auto"/>
              <w:rPr>
                <w:rFonts w:ascii="Arial" w:hAnsi="Arial" w:cs="Arial"/>
                <w:color w:val="262626" w:themeColor="text1" w:themeTint="D9"/>
                <w:sz w:val="20"/>
                <w:szCs w:val="20"/>
                <w:lang w:val="fr-LU"/>
              </w:rPr>
            </w:pPr>
            <w:r w:rsidRPr="0051047E">
              <w:rPr>
                <w:rFonts w:ascii="Arial" w:hAnsi="Arial" w:cs="Arial"/>
                <w:color w:val="262626" w:themeColor="text1" w:themeTint="D9"/>
                <w:sz w:val="20"/>
                <w:szCs w:val="20"/>
                <w:lang w:val="fr-LU"/>
              </w:rPr>
              <w:t xml:space="preserve">        -</w:t>
            </w:r>
          </w:p>
        </w:tc>
        <w:tc>
          <w:tcPr>
            <w:tcW w:w="1170" w:type="dxa"/>
            <w:shd w:val="clear" w:color="auto" w:fill="auto"/>
            <w:vAlign w:val="center"/>
          </w:tcPr>
          <w:p w14:paraId="704F80A8" w14:textId="77777777" w:rsidR="00A461C6" w:rsidRPr="0051047E" w:rsidRDefault="00A461C6" w:rsidP="002D4074">
            <w:pPr>
              <w:spacing w:after="0" w:line="240" w:lineRule="auto"/>
              <w:rPr>
                <w:rFonts w:ascii="Arial" w:hAnsi="Arial" w:cs="Arial"/>
                <w:color w:val="262626" w:themeColor="text1" w:themeTint="D9"/>
                <w:sz w:val="20"/>
                <w:szCs w:val="20"/>
                <w:lang w:val="fr-LU"/>
              </w:rPr>
            </w:pPr>
            <w:r w:rsidRPr="0051047E">
              <w:rPr>
                <w:rFonts w:ascii="Arial" w:hAnsi="Arial" w:cs="Arial"/>
                <w:color w:val="262626" w:themeColor="text1" w:themeTint="D9"/>
                <w:sz w:val="20"/>
                <w:szCs w:val="20"/>
                <w:lang w:val="fr-LU"/>
              </w:rPr>
              <w:t>3</w:t>
            </w:r>
          </w:p>
        </w:tc>
        <w:tc>
          <w:tcPr>
            <w:tcW w:w="1512" w:type="dxa"/>
            <w:shd w:val="clear" w:color="auto" w:fill="auto"/>
            <w:vAlign w:val="center"/>
          </w:tcPr>
          <w:p w14:paraId="35079D20" w14:textId="77777777" w:rsidR="00A461C6" w:rsidRPr="0051047E" w:rsidDel="0090685F" w:rsidRDefault="00A461C6" w:rsidP="002D4074">
            <w:pPr>
              <w:spacing w:after="0" w:line="240" w:lineRule="auto"/>
              <w:rPr>
                <w:rFonts w:ascii="Arial" w:hAnsi="Arial" w:cs="Arial"/>
                <w:color w:val="262626" w:themeColor="text1" w:themeTint="D9"/>
                <w:sz w:val="20"/>
                <w:szCs w:val="20"/>
                <w:lang w:val="fr-LU"/>
              </w:rPr>
            </w:pPr>
            <w:r>
              <w:rPr>
                <w:rFonts w:ascii="Arial" w:hAnsi="Arial" w:cs="Arial"/>
                <w:color w:val="262626" w:themeColor="text1" w:themeTint="D9"/>
                <w:sz w:val="20"/>
                <w:szCs w:val="20"/>
                <w:lang w:val="fr-LU"/>
              </w:rPr>
              <w:t>NA</w:t>
            </w:r>
          </w:p>
        </w:tc>
        <w:tc>
          <w:tcPr>
            <w:tcW w:w="5529" w:type="dxa"/>
            <w:shd w:val="clear" w:color="auto" w:fill="auto"/>
            <w:noWrap/>
            <w:vAlign w:val="bottom"/>
          </w:tcPr>
          <w:p w14:paraId="0023A447" w14:textId="77777777" w:rsidR="00A461C6" w:rsidRPr="0051047E" w:rsidRDefault="00A461C6" w:rsidP="002D4074">
            <w:pPr>
              <w:spacing w:after="0" w:line="240" w:lineRule="auto"/>
              <w:jc w:val="both"/>
              <w:rPr>
                <w:rFonts w:ascii="Arial" w:hAnsi="Arial" w:cs="Arial"/>
                <w:color w:val="262626" w:themeColor="text1" w:themeTint="D9"/>
                <w:sz w:val="20"/>
                <w:szCs w:val="20"/>
              </w:rPr>
            </w:pPr>
            <w:r>
              <w:rPr>
                <w:rFonts w:ascii="Arial" w:hAnsi="Arial" w:cs="Arial"/>
                <w:color w:val="262626" w:themeColor="text1" w:themeTint="D9"/>
                <w:sz w:val="20"/>
                <w:szCs w:val="20"/>
              </w:rPr>
              <w:t>Pas de cibles, c</w:t>
            </w:r>
            <w:r w:rsidRPr="0051047E">
              <w:rPr>
                <w:rFonts w:ascii="Arial" w:hAnsi="Arial" w:cs="Arial"/>
                <w:color w:val="262626" w:themeColor="text1" w:themeTint="D9"/>
                <w:sz w:val="20"/>
                <w:szCs w:val="20"/>
              </w:rPr>
              <w:t xml:space="preserve">’est un produit spécifique pour les femmes qui contribue à la résolution du problème de garanti soulevé pour cette catégorie de personne.  </w:t>
            </w:r>
          </w:p>
        </w:tc>
      </w:tr>
      <w:tr w:rsidR="00A461C6" w:rsidRPr="00D54936" w14:paraId="045E69F1" w14:textId="77777777" w:rsidTr="002D4074">
        <w:trPr>
          <w:trHeight w:val="411"/>
        </w:trPr>
        <w:tc>
          <w:tcPr>
            <w:tcW w:w="1756" w:type="dxa"/>
            <w:vAlign w:val="center"/>
          </w:tcPr>
          <w:p w14:paraId="3207222E" w14:textId="77777777" w:rsidR="00A461C6" w:rsidRPr="0051047E" w:rsidRDefault="00A461C6" w:rsidP="002D4074">
            <w:pPr>
              <w:spacing w:after="0" w:line="240" w:lineRule="auto"/>
              <w:rPr>
                <w:rFonts w:ascii="Arial" w:hAnsi="Arial" w:cs="Arial"/>
                <w:color w:val="262626" w:themeColor="text1" w:themeTint="D9"/>
                <w:sz w:val="20"/>
                <w:szCs w:val="20"/>
              </w:rPr>
            </w:pPr>
          </w:p>
        </w:tc>
        <w:tc>
          <w:tcPr>
            <w:tcW w:w="2193" w:type="dxa"/>
            <w:shd w:val="clear" w:color="auto" w:fill="auto"/>
            <w:vAlign w:val="center"/>
          </w:tcPr>
          <w:p w14:paraId="56B70ECF" w14:textId="77777777" w:rsidR="00A461C6" w:rsidRPr="0051047E" w:rsidRDefault="00A461C6" w:rsidP="002D4074">
            <w:pPr>
              <w:spacing w:after="0" w:line="240" w:lineRule="auto"/>
              <w:rPr>
                <w:rFonts w:ascii="Arial" w:hAnsi="Arial" w:cs="Arial"/>
                <w:color w:val="262626" w:themeColor="text1" w:themeTint="D9"/>
                <w:sz w:val="20"/>
                <w:szCs w:val="20"/>
                <w:lang w:val="fr-LU"/>
              </w:rPr>
            </w:pPr>
            <w:r w:rsidRPr="0051047E">
              <w:rPr>
                <w:rFonts w:ascii="Arial" w:hAnsi="Arial" w:cs="Arial"/>
                <w:color w:val="262626" w:themeColor="text1" w:themeTint="D9"/>
                <w:sz w:val="20"/>
                <w:szCs w:val="20"/>
                <w:lang w:val="fr-LU"/>
              </w:rPr>
              <w:t># d</w:t>
            </w:r>
            <w:r w:rsidRPr="0051047E">
              <w:rPr>
                <w:rFonts w:ascii="Arial" w:hAnsi="Arial" w:cs="Arial"/>
                <w:color w:val="262626" w:themeColor="text1" w:themeTint="D9"/>
                <w:sz w:val="20"/>
                <w:szCs w:val="20"/>
              </w:rPr>
              <w:t xml:space="preserve">e nouveaux clients ruraux ayant accédé au </w:t>
            </w:r>
            <w:r w:rsidRPr="0051047E">
              <w:rPr>
                <w:rFonts w:ascii="Arial" w:hAnsi="Arial" w:cs="Arial"/>
                <w:color w:val="262626" w:themeColor="text1" w:themeTint="D9"/>
                <w:sz w:val="20"/>
                <w:szCs w:val="20"/>
                <w:lang w:val="fr-LU"/>
              </w:rPr>
              <w:t xml:space="preserve">Produit </w:t>
            </w:r>
            <w:r w:rsidRPr="0051047E">
              <w:rPr>
                <w:rFonts w:ascii="Arial" w:hAnsi="Arial" w:cs="Arial"/>
                <w:color w:val="262626" w:themeColor="text1" w:themeTint="D9"/>
                <w:sz w:val="20"/>
                <w:szCs w:val="20"/>
              </w:rPr>
              <w:t>énergie renouvelable</w:t>
            </w:r>
          </w:p>
        </w:tc>
        <w:tc>
          <w:tcPr>
            <w:tcW w:w="1620" w:type="dxa"/>
            <w:shd w:val="clear" w:color="auto" w:fill="auto"/>
            <w:vAlign w:val="center"/>
          </w:tcPr>
          <w:p w14:paraId="47BFFBB5" w14:textId="77777777" w:rsidR="00A461C6" w:rsidRPr="0051047E" w:rsidRDefault="00A461C6" w:rsidP="002D4074">
            <w:pPr>
              <w:spacing w:after="0" w:line="240" w:lineRule="auto"/>
              <w:rPr>
                <w:rFonts w:ascii="Arial" w:hAnsi="Arial" w:cs="Arial"/>
                <w:color w:val="262626" w:themeColor="text1" w:themeTint="D9"/>
                <w:sz w:val="20"/>
                <w:szCs w:val="20"/>
                <w:lang w:val="fr-LU"/>
              </w:rPr>
            </w:pPr>
            <w:r w:rsidRPr="0051047E">
              <w:rPr>
                <w:rFonts w:ascii="Arial" w:hAnsi="Arial" w:cs="Arial"/>
                <w:color w:val="262626" w:themeColor="text1" w:themeTint="D9"/>
                <w:sz w:val="20"/>
                <w:szCs w:val="20"/>
                <w:lang w:val="fr-LU"/>
              </w:rPr>
              <w:t xml:space="preserve">      -</w:t>
            </w:r>
          </w:p>
        </w:tc>
        <w:tc>
          <w:tcPr>
            <w:tcW w:w="1530" w:type="dxa"/>
            <w:shd w:val="clear" w:color="auto" w:fill="auto"/>
            <w:vAlign w:val="center"/>
          </w:tcPr>
          <w:p w14:paraId="2B2826CC" w14:textId="77777777" w:rsidR="00A461C6" w:rsidRPr="0051047E" w:rsidDel="001057AB" w:rsidRDefault="00A461C6" w:rsidP="002D4074">
            <w:pPr>
              <w:spacing w:after="0" w:line="240" w:lineRule="auto"/>
              <w:rPr>
                <w:rFonts w:ascii="Arial" w:hAnsi="Arial" w:cs="Arial"/>
                <w:color w:val="262626" w:themeColor="text1" w:themeTint="D9"/>
                <w:sz w:val="20"/>
                <w:szCs w:val="20"/>
                <w:lang w:val="fr-LU"/>
              </w:rPr>
            </w:pPr>
            <w:r w:rsidRPr="0051047E">
              <w:rPr>
                <w:rFonts w:ascii="Arial" w:hAnsi="Arial" w:cs="Arial"/>
                <w:color w:val="262626" w:themeColor="text1" w:themeTint="D9"/>
                <w:sz w:val="20"/>
                <w:szCs w:val="20"/>
                <w:lang w:val="fr-LU"/>
              </w:rPr>
              <w:t xml:space="preserve">         -</w:t>
            </w:r>
          </w:p>
        </w:tc>
        <w:tc>
          <w:tcPr>
            <w:tcW w:w="1170" w:type="dxa"/>
            <w:shd w:val="clear" w:color="auto" w:fill="auto"/>
            <w:vAlign w:val="center"/>
          </w:tcPr>
          <w:p w14:paraId="3E6523FF" w14:textId="77777777" w:rsidR="00A461C6" w:rsidRPr="0051047E" w:rsidRDefault="00A461C6" w:rsidP="002D4074">
            <w:pPr>
              <w:spacing w:after="0" w:line="240" w:lineRule="auto"/>
              <w:rPr>
                <w:rFonts w:ascii="Arial" w:hAnsi="Arial" w:cs="Arial"/>
                <w:color w:val="262626" w:themeColor="text1" w:themeTint="D9"/>
                <w:sz w:val="20"/>
                <w:szCs w:val="20"/>
                <w:lang w:val="fr-LU"/>
              </w:rPr>
            </w:pPr>
            <w:r w:rsidRPr="0051047E">
              <w:rPr>
                <w:rFonts w:ascii="Arial" w:hAnsi="Arial" w:cs="Arial"/>
                <w:color w:val="262626" w:themeColor="text1" w:themeTint="D9"/>
                <w:sz w:val="20"/>
                <w:szCs w:val="20"/>
                <w:lang w:val="fr-LU"/>
              </w:rPr>
              <w:t>65</w:t>
            </w:r>
          </w:p>
        </w:tc>
        <w:tc>
          <w:tcPr>
            <w:tcW w:w="1512" w:type="dxa"/>
            <w:shd w:val="clear" w:color="auto" w:fill="auto"/>
            <w:vAlign w:val="center"/>
          </w:tcPr>
          <w:p w14:paraId="4922B6D7" w14:textId="77777777" w:rsidR="00A461C6" w:rsidRPr="0051047E" w:rsidDel="0090685F" w:rsidRDefault="00A461C6" w:rsidP="002D4074">
            <w:pPr>
              <w:spacing w:after="0" w:line="240" w:lineRule="auto"/>
              <w:rPr>
                <w:rFonts w:ascii="Arial" w:hAnsi="Arial" w:cs="Arial"/>
                <w:color w:val="262626" w:themeColor="text1" w:themeTint="D9"/>
                <w:sz w:val="20"/>
                <w:szCs w:val="20"/>
                <w:lang w:val="fr-LU"/>
              </w:rPr>
            </w:pPr>
            <w:r>
              <w:rPr>
                <w:rFonts w:ascii="Arial" w:hAnsi="Arial" w:cs="Arial"/>
                <w:color w:val="262626" w:themeColor="text1" w:themeTint="D9"/>
                <w:sz w:val="20"/>
                <w:szCs w:val="20"/>
                <w:lang w:val="fr-LU"/>
              </w:rPr>
              <w:t>NA</w:t>
            </w:r>
          </w:p>
        </w:tc>
        <w:tc>
          <w:tcPr>
            <w:tcW w:w="5529" w:type="dxa"/>
            <w:shd w:val="clear" w:color="auto" w:fill="auto"/>
            <w:noWrap/>
            <w:vAlign w:val="bottom"/>
          </w:tcPr>
          <w:p w14:paraId="53CD41B4" w14:textId="77777777" w:rsidR="00A461C6" w:rsidRPr="0051047E" w:rsidRDefault="00A461C6" w:rsidP="002D4074">
            <w:pPr>
              <w:spacing w:after="0" w:line="240" w:lineRule="auto"/>
              <w:jc w:val="both"/>
              <w:rPr>
                <w:rFonts w:ascii="Arial" w:hAnsi="Arial" w:cs="Arial"/>
                <w:color w:val="262626" w:themeColor="text1" w:themeTint="D9"/>
                <w:sz w:val="20"/>
                <w:szCs w:val="20"/>
              </w:rPr>
            </w:pPr>
            <w:r w:rsidRPr="50CCE921">
              <w:rPr>
                <w:rFonts w:ascii="Arial" w:hAnsi="Arial" w:cs="Arial"/>
                <w:color w:val="262626" w:themeColor="text1" w:themeTint="D9"/>
                <w:sz w:val="20"/>
                <w:szCs w:val="20"/>
              </w:rPr>
              <w:t xml:space="preserve">Pas de cible, </w:t>
            </w:r>
            <w:r>
              <w:rPr>
                <w:rFonts w:ascii="Arial" w:hAnsi="Arial" w:cs="Arial"/>
                <w:color w:val="262626" w:themeColor="text1" w:themeTint="D9"/>
                <w:sz w:val="20"/>
                <w:szCs w:val="20"/>
              </w:rPr>
              <w:t>c</w:t>
            </w:r>
            <w:r w:rsidRPr="50CCE921">
              <w:rPr>
                <w:rFonts w:ascii="Arial" w:hAnsi="Arial" w:cs="Arial"/>
                <w:color w:val="262626" w:themeColor="text1" w:themeTint="D9"/>
                <w:sz w:val="20"/>
                <w:szCs w:val="20"/>
              </w:rPr>
              <w:t>’est un produit spécifique pour les ménages ruraux pour accès aux plaques solaires, les lampes, les télévisions utilisant l’énergie solaire afin d’éclairer leurs ménages</w:t>
            </w:r>
            <w:r>
              <w:rPr>
                <w:rFonts w:ascii="Arial" w:hAnsi="Arial" w:cs="Arial"/>
                <w:color w:val="262626" w:themeColor="text1" w:themeTint="D9"/>
                <w:sz w:val="20"/>
                <w:szCs w:val="20"/>
              </w:rPr>
              <w:t>. C</w:t>
            </w:r>
            <w:r w:rsidRPr="50CCE921">
              <w:rPr>
                <w:rFonts w:ascii="Arial" w:hAnsi="Arial" w:cs="Arial"/>
                <w:color w:val="262626" w:themeColor="text1" w:themeTint="D9"/>
                <w:sz w:val="20"/>
                <w:szCs w:val="20"/>
              </w:rPr>
              <w:t>e produit contribue à la satisfaction des besoins première nécess</w:t>
            </w:r>
            <w:r>
              <w:rPr>
                <w:rFonts w:ascii="Arial" w:hAnsi="Arial" w:cs="Arial"/>
                <w:color w:val="262626" w:themeColor="text1" w:themeTint="D9"/>
                <w:sz w:val="20"/>
                <w:szCs w:val="20"/>
              </w:rPr>
              <w:t xml:space="preserve">aire </w:t>
            </w:r>
            <w:r w:rsidRPr="50CCE921">
              <w:rPr>
                <w:rFonts w:ascii="Arial" w:hAnsi="Arial" w:cs="Arial"/>
                <w:color w:val="262626" w:themeColor="text1" w:themeTint="D9"/>
                <w:sz w:val="20"/>
                <w:szCs w:val="20"/>
              </w:rPr>
              <w:t xml:space="preserve">comme accès à l’énergie pour cette catégorie de personne du monde rurale où il n’y a pas d’électricité de la REGIDESO. </w:t>
            </w:r>
          </w:p>
        </w:tc>
      </w:tr>
      <w:tr w:rsidR="00A461C6" w:rsidRPr="00D54936" w14:paraId="0728BA84" w14:textId="77777777" w:rsidTr="002D4074">
        <w:trPr>
          <w:trHeight w:val="1112"/>
        </w:trPr>
        <w:tc>
          <w:tcPr>
            <w:tcW w:w="1756" w:type="dxa"/>
            <w:vMerge w:val="restart"/>
            <w:shd w:val="clear" w:color="auto" w:fill="auto"/>
            <w:vAlign w:val="center"/>
            <w:hideMark/>
          </w:tcPr>
          <w:p w14:paraId="3512E3F8" w14:textId="77777777" w:rsidR="00A461C6" w:rsidRPr="0051047E" w:rsidRDefault="00A461C6" w:rsidP="002D4074">
            <w:pPr>
              <w:spacing w:after="0" w:line="240" w:lineRule="auto"/>
              <w:jc w:val="center"/>
              <w:rPr>
                <w:rFonts w:ascii="Arial" w:hAnsi="Arial" w:cs="Arial"/>
                <w:color w:val="262626" w:themeColor="text1" w:themeTint="D9"/>
                <w:sz w:val="20"/>
                <w:szCs w:val="20"/>
              </w:rPr>
            </w:pPr>
            <w:r w:rsidRPr="0051047E">
              <w:rPr>
                <w:rFonts w:ascii="Arial" w:hAnsi="Arial" w:cs="Arial"/>
                <w:color w:val="262626" w:themeColor="text1" w:themeTint="D9"/>
                <w:sz w:val="20"/>
                <w:szCs w:val="20"/>
              </w:rPr>
              <w:t>RI200. Utilisation accrue des services financiers formels par les bénéficiaires des projets et programmes de développement</w:t>
            </w:r>
          </w:p>
        </w:tc>
        <w:tc>
          <w:tcPr>
            <w:tcW w:w="2193" w:type="dxa"/>
            <w:shd w:val="clear" w:color="auto" w:fill="auto"/>
            <w:vAlign w:val="center"/>
            <w:hideMark/>
          </w:tcPr>
          <w:p w14:paraId="30C07B62" w14:textId="77777777" w:rsidR="00A461C6" w:rsidRPr="0051047E" w:rsidRDefault="00A461C6" w:rsidP="002D4074">
            <w:pPr>
              <w:spacing w:after="0" w:line="240" w:lineRule="auto"/>
              <w:rPr>
                <w:rFonts w:ascii="Arial" w:hAnsi="Arial" w:cs="Arial"/>
                <w:color w:val="262626" w:themeColor="text1" w:themeTint="D9"/>
                <w:sz w:val="20"/>
                <w:szCs w:val="20"/>
              </w:rPr>
            </w:pPr>
            <w:r w:rsidRPr="0051047E">
              <w:rPr>
                <w:rFonts w:ascii="Arial" w:hAnsi="Arial" w:cs="Arial"/>
                <w:color w:val="262626" w:themeColor="text1" w:themeTint="D9"/>
                <w:sz w:val="20"/>
                <w:szCs w:val="20"/>
                <w:lang w:val="fr-LU"/>
              </w:rPr>
              <w:t>Variation du volume de :</w:t>
            </w:r>
          </w:p>
        </w:tc>
        <w:tc>
          <w:tcPr>
            <w:tcW w:w="1620" w:type="dxa"/>
            <w:shd w:val="clear" w:color="auto" w:fill="auto"/>
            <w:vAlign w:val="center"/>
            <w:hideMark/>
          </w:tcPr>
          <w:p w14:paraId="634A33B8" w14:textId="77777777" w:rsidR="00A461C6" w:rsidRPr="0051047E" w:rsidRDefault="00A461C6" w:rsidP="002D4074">
            <w:pPr>
              <w:spacing w:after="0" w:line="240" w:lineRule="auto"/>
              <w:rPr>
                <w:rFonts w:ascii="Arial" w:hAnsi="Arial" w:cs="Arial"/>
                <w:color w:val="262626" w:themeColor="text1" w:themeTint="D9"/>
                <w:sz w:val="20"/>
                <w:szCs w:val="20"/>
              </w:rPr>
            </w:pPr>
          </w:p>
        </w:tc>
        <w:tc>
          <w:tcPr>
            <w:tcW w:w="1530" w:type="dxa"/>
            <w:shd w:val="clear" w:color="auto" w:fill="auto"/>
            <w:vAlign w:val="center"/>
          </w:tcPr>
          <w:p w14:paraId="30AF00DF" w14:textId="77777777" w:rsidR="00A461C6" w:rsidRPr="0051047E" w:rsidRDefault="00A461C6" w:rsidP="002D4074">
            <w:pPr>
              <w:spacing w:after="0" w:line="240" w:lineRule="auto"/>
              <w:rPr>
                <w:rFonts w:ascii="Arial" w:hAnsi="Arial" w:cs="Arial"/>
                <w:color w:val="262626" w:themeColor="text1" w:themeTint="D9"/>
                <w:sz w:val="20"/>
                <w:szCs w:val="20"/>
              </w:rPr>
            </w:pPr>
          </w:p>
        </w:tc>
        <w:tc>
          <w:tcPr>
            <w:tcW w:w="1170" w:type="dxa"/>
            <w:shd w:val="clear" w:color="auto" w:fill="auto"/>
            <w:vAlign w:val="center"/>
          </w:tcPr>
          <w:p w14:paraId="44C13B7C" w14:textId="77777777" w:rsidR="00A461C6" w:rsidRPr="0051047E" w:rsidRDefault="00A461C6" w:rsidP="002D4074">
            <w:pPr>
              <w:spacing w:after="0" w:line="240" w:lineRule="auto"/>
              <w:rPr>
                <w:rFonts w:ascii="Arial" w:hAnsi="Arial" w:cs="Arial"/>
                <w:color w:val="262626" w:themeColor="text1" w:themeTint="D9"/>
                <w:sz w:val="20"/>
                <w:szCs w:val="20"/>
              </w:rPr>
            </w:pPr>
          </w:p>
        </w:tc>
        <w:tc>
          <w:tcPr>
            <w:tcW w:w="1512" w:type="dxa"/>
            <w:shd w:val="clear" w:color="auto" w:fill="auto"/>
            <w:vAlign w:val="center"/>
          </w:tcPr>
          <w:p w14:paraId="4413E108" w14:textId="77777777" w:rsidR="00A461C6" w:rsidRPr="0051047E" w:rsidRDefault="00A461C6" w:rsidP="002D4074">
            <w:pPr>
              <w:spacing w:after="0" w:line="240" w:lineRule="auto"/>
              <w:rPr>
                <w:rFonts w:ascii="Arial" w:hAnsi="Arial" w:cs="Arial"/>
                <w:color w:val="262626" w:themeColor="text1" w:themeTint="D9"/>
                <w:sz w:val="20"/>
                <w:szCs w:val="20"/>
              </w:rPr>
            </w:pPr>
          </w:p>
        </w:tc>
        <w:tc>
          <w:tcPr>
            <w:tcW w:w="5529" w:type="dxa"/>
            <w:shd w:val="clear" w:color="auto" w:fill="auto"/>
            <w:noWrap/>
            <w:vAlign w:val="bottom"/>
          </w:tcPr>
          <w:p w14:paraId="49ACD9B4" w14:textId="77777777" w:rsidR="00A461C6" w:rsidRPr="00985478" w:rsidRDefault="00A461C6" w:rsidP="002D4074">
            <w:pPr>
              <w:spacing w:after="0" w:line="240" w:lineRule="auto"/>
              <w:rPr>
                <w:rFonts w:ascii="Arial" w:hAnsi="Arial" w:cs="Arial"/>
                <w:color w:val="262626" w:themeColor="text1" w:themeTint="D9"/>
                <w:sz w:val="20"/>
                <w:szCs w:val="20"/>
              </w:rPr>
            </w:pPr>
          </w:p>
        </w:tc>
      </w:tr>
      <w:tr w:rsidR="00A461C6" w:rsidRPr="00D54936" w14:paraId="096346B4" w14:textId="77777777" w:rsidTr="002D4074">
        <w:trPr>
          <w:trHeight w:val="1112"/>
        </w:trPr>
        <w:tc>
          <w:tcPr>
            <w:tcW w:w="1756" w:type="dxa"/>
            <w:vMerge/>
            <w:vAlign w:val="center"/>
          </w:tcPr>
          <w:p w14:paraId="4088118D" w14:textId="77777777" w:rsidR="00A461C6" w:rsidRPr="0051047E" w:rsidRDefault="00A461C6" w:rsidP="002D4074">
            <w:pPr>
              <w:spacing w:after="0" w:line="240" w:lineRule="auto"/>
              <w:jc w:val="center"/>
              <w:rPr>
                <w:rFonts w:ascii="Arial" w:hAnsi="Arial" w:cs="Arial"/>
                <w:color w:val="262626" w:themeColor="text1" w:themeTint="D9"/>
                <w:sz w:val="20"/>
                <w:szCs w:val="20"/>
              </w:rPr>
            </w:pPr>
          </w:p>
        </w:tc>
        <w:tc>
          <w:tcPr>
            <w:tcW w:w="2193" w:type="dxa"/>
            <w:shd w:val="clear" w:color="auto" w:fill="auto"/>
            <w:vAlign w:val="center"/>
          </w:tcPr>
          <w:p w14:paraId="3F161F85" w14:textId="77777777" w:rsidR="00A461C6" w:rsidRPr="0051047E" w:rsidRDefault="00A461C6" w:rsidP="002D4074">
            <w:pPr>
              <w:spacing w:after="0" w:line="240" w:lineRule="auto"/>
              <w:rPr>
                <w:rFonts w:ascii="Arial" w:hAnsi="Arial" w:cs="Arial"/>
                <w:color w:val="262626" w:themeColor="text1" w:themeTint="D9"/>
                <w:sz w:val="20"/>
                <w:szCs w:val="20"/>
                <w:lang w:val="fr-LU"/>
              </w:rPr>
            </w:pPr>
            <w:r w:rsidRPr="0051047E">
              <w:rPr>
                <w:rFonts w:ascii="Arial" w:hAnsi="Arial" w:cs="Arial"/>
                <w:color w:val="262626" w:themeColor="text1" w:themeTint="D9"/>
                <w:sz w:val="20"/>
                <w:szCs w:val="20"/>
                <w:lang w:val="fr-LU"/>
              </w:rPr>
              <w:t>% Augmentation du volume annuel de crédit rural agricole des IMF partenaires du projet</w:t>
            </w:r>
          </w:p>
        </w:tc>
        <w:tc>
          <w:tcPr>
            <w:tcW w:w="1620" w:type="dxa"/>
            <w:shd w:val="clear" w:color="auto" w:fill="auto"/>
            <w:vAlign w:val="center"/>
          </w:tcPr>
          <w:p w14:paraId="4EC40E3A" w14:textId="77777777" w:rsidR="00A461C6" w:rsidRPr="0051047E" w:rsidRDefault="00A461C6" w:rsidP="002D4074">
            <w:pPr>
              <w:spacing w:after="0" w:line="240" w:lineRule="auto"/>
              <w:jc w:val="right"/>
              <w:rPr>
                <w:rFonts w:ascii="Arial" w:hAnsi="Arial" w:cs="Arial"/>
                <w:color w:val="262626" w:themeColor="text1" w:themeTint="D9"/>
                <w:sz w:val="20"/>
                <w:szCs w:val="20"/>
                <w:lang w:val="fr-LU"/>
              </w:rPr>
            </w:pPr>
            <w:r w:rsidRPr="0051047E">
              <w:rPr>
                <w:rFonts w:ascii="Arial" w:hAnsi="Arial" w:cs="Arial"/>
                <w:color w:val="262626" w:themeColor="text1" w:themeTint="D9"/>
                <w:sz w:val="20"/>
                <w:szCs w:val="20"/>
                <w:lang w:val="fr-LU"/>
              </w:rPr>
              <w:t>200%</w:t>
            </w:r>
          </w:p>
        </w:tc>
        <w:tc>
          <w:tcPr>
            <w:tcW w:w="1530" w:type="dxa"/>
            <w:shd w:val="clear" w:color="auto" w:fill="auto"/>
            <w:vAlign w:val="center"/>
          </w:tcPr>
          <w:p w14:paraId="5262A9E6" w14:textId="77777777" w:rsidR="00A461C6" w:rsidRPr="0051047E" w:rsidDel="001057AB" w:rsidRDefault="00A461C6" w:rsidP="002D4074">
            <w:pPr>
              <w:spacing w:after="0" w:line="240" w:lineRule="auto"/>
              <w:jc w:val="right"/>
              <w:rPr>
                <w:rFonts w:ascii="Arial" w:hAnsi="Arial" w:cs="Arial"/>
                <w:color w:val="262626" w:themeColor="text1" w:themeTint="D9"/>
                <w:sz w:val="20"/>
                <w:szCs w:val="20"/>
                <w:lang w:val="fr-LU"/>
              </w:rPr>
            </w:pPr>
            <w:r>
              <w:rPr>
                <w:rFonts w:ascii="Arial" w:hAnsi="Arial" w:cs="Arial"/>
                <w:color w:val="262626" w:themeColor="text1" w:themeTint="D9"/>
                <w:sz w:val="20"/>
                <w:szCs w:val="20"/>
                <w:lang w:val="fr-LU"/>
              </w:rPr>
              <w:t>120%</w:t>
            </w:r>
          </w:p>
        </w:tc>
        <w:tc>
          <w:tcPr>
            <w:tcW w:w="1170" w:type="dxa"/>
            <w:shd w:val="clear" w:color="auto" w:fill="auto"/>
            <w:vAlign w:val="center"/>
          </w:tcPr>
          <w:p w14:paraId="2E1CCCCC" w14:textId="77777777" w:rsidR="00A461C6" w:rsidRDefault="00A461C6" w:rsidP="002D4074">
            <w:pPr>
              <w:spacing w:after="0" w:line="240" w:lineRule="auto"/>
              <w:rPr>
                <w:rFonts w:cs="Calibri"/>
                <w:b/>
                <w:bCs/>
                <w:color w:val="000000"/>
              </w:rPr>
            </w:pPr>
          </w:p>
          <w:p w14:paraId="21E98BB2" w14:textId="77777777" w:rsidR="00A461C6" w:rsidRPr="0004139A" w:rsidDel="001057AB" w:rsidRDefault="00A461C6" w:rsidP="002D4074">
            <w:pPr>
              <w:spacing w:after="0" w:line="240" w:lineRule="auto"/>
              <w:jc w:val="right"/>
              <w:rPr>
                <w:rFonts w:ascii="Arial" w:hAnsi="Arial" w:cs="Arial"/>
                <w:b/>
                <w:bCs/>
                <w:color w:val="262626" w:themeColor="text1" w:themeTint="D9"/>
                <w:sz w:val="20"/>
                <w:szCs w:val="20"/>
                <w:lang w:val="fr-LU"/>
              </w:rPr>
            </w:pPr>
            <w:r w:rsidRPr="0004139A">
              <w:rPr>
                <w:rFonts w:ascii="Arial" w:hAnsi="Arial" w:cs="Arial"/>
                <w:b/>
                <w:bCs/>
                <w:color w:val="262626" w:themeColor="text1" w:themeTint="D9"/>
                <w:sz w:val="20"/>
                <w:szCs w:val="20"/>
                <w:lang w:val="fr-LU"/>
              </w:rPr>
              <w:t>131%</w:t>
            </w:r>
          </w:p>
        </w:tc>
        <w:tc>
          <w:tcPr>
            <w:tcW w:w="1512" w:type="dxa"/>
            <w:shd w:val="clear" w:color="auto" w:fill="auto"/>
            <w:vAlign w:val="center"/>
          </w:tcPr>
          <w:p w14:paraId="17A1007C" w14:textId="77777777" w:rsidR="00A461C6" w:rsidRPr="00753377" w:rsidDel="0090685F" w:rsidRDefault="00A461C6" w:rsidP="002D4074">
            <w:pPr>
              <w:spacing w:after="0" w:line="240" w:lineRule="auto"/>
              <w:jc w:val="right"/>
              <w:rPr>
                <w:rFonts w:ascii="Arial" w:hAnsi="Arial" w:cs="Arial"/>
                <w:b/>
                <w:bCs/>
                <w:color w:val="262626" w:themeColor="text1" w:themeTint="D9"/>
                <w:sz w:val="20"/>
                <w:szCs w:val="20"/>
                <w:lang w:val="fr-LU"/>
              </w:rPr>
            </w:pPr>
            <w:r>
              <w:rPr>
                <w:rFonts w:ascii="Arial" w:hAnsi="Arial" w:cs="Arial"/>
                <w:b/>
                <w:bCs/>
                <w:color w:val="262626" w:themeColor="text1" w:themeTint="D9"/>
                <w:sz w:val="20"/>
                <w:szCs w:val="20"/>
                <w:lang w:val="fr-LU"/>
              </w:rPr>
              <w:t>110%</w:t>
            </w:r>
          </w:p>
        </w:tc>
        <w:tc>
          <w:tcPr>
            <w:tcW w:w="5529" w:type="dxa"/>
            <w:shd w:val="clear" w:color="auto" w:fill="auto"/>
            <w:noWrap/>
            <w:vAlign w:val="bottom"/>
          </w:tcPr>
          <w:p w14:paraId="169C6034" w14:textId="77777777" w:rsidR="00A461C6" w:rsidRDefault="00A461C6" w:rsidP="002D4074">
            <w:pPr>
              <w:spacing w:after="0" w:line="240" w:lineRule="auto"/>
              <w:jc w:val="both"/>
              <w:rPr>
                <w:rFonts w:ascii="Arial" w:hAnsi="Arial" w:cs="Arial"/>
                <w:b/>
                <w:bCs/>
                <w:color w:val="000000"/>
                <w:sz w:val="20"/>
                <w:szCs w:val="20"/>
              </w:rPr>
            </w:pPr>
            <w:r w:rsidRPr="00985478">
              <w:rPr>
                <w:rFonts w:ascii="Arial" w:hAnsi="Arial" w:cs="Arial"/>
                <w:color w:val="262626" w:themeColor="text1" w:themeTint="D9"/>
                <w:sz w:val="20"/>
                <w:szCs w:val="20"/>
              </w:rPr>
              <w:t xml:space="preserve">Il s’agit des cumuls des déblocages sur le crédit agricole déjà fait par les IMF totalisant </w:t>
            </w:r>
            <w:r w:rsidRPr="00985478">
              <w:rPr>
                <w:rFonts w:ascii="Arial" w:hAnsi="Arial" w:cs="Arial"/>
                <w:b/>
                <w:bCs/>
                <w:color w:val="000000"/>
                <w:sz w:val="20"/>
                <w:szCs w:val="20"/>
              </w:rPr>
              <w:t>19,465,197,159</w:t>
            </w:r>
            <w:r>
              <w:rPr>
                <w:rFonts w:ascii="Arial" w:hAnsi="Arial" w:cs="Arial"/>
                <w:b/>
                <w:bCs/>
                <w:color w:val="000000"/>
                <w:sz w:val="20"/>
                <w:szCs w:val="20"/>
              </w:rPr>
              <w:t> </w:t>
            </w:r>
          </w:p>
          <w:p w14:paraId="0823657D" w14:textId="77777777" w:rsidR="00A461C6" w:rsidRDefault="00A461C6" w:rsidP="002D4074">
            <w:pPr>
              <w:spacing w:after="0" w:line="240" w:lineRule="auto"/>
              <w:jc w:val="both"/>
              <w:rPr>
                <w:rFonts w:ascii="Arial" w:hAnsi="Arial" w:cs="Arial"/>
                <w:sz w:val="20"/>
                <w:szCs w:val="20"/>
              </w:rPr>
            </w:pPr>
            <w:r w:rsidRPr="00985478">
              <w:rPr>
                <w:rFonts w:ascii="Arial" w:hAnsi="Arial" w:cs="Arial"/>
                <w:b/>
                <w:bCs/>
                <w:color w:val="000000"/>
                <w:sz w:val="20"/>
                <w:szCs w:val="20"/>
              </w:rPr>
              <w:t xml:space="preserve">(5 665 895 018 </w:t>
            </w:r>
            <w:r w:rsidRPr="00CD6272">
              <w:rPr>
                <w:rFonts w:ascii="Arial" w:hAnsi="Arial" w:cs="Arial"/>
                <w:color w:val="000000"/>
                <w:sz w:val="20"/>
                <w:szCs w:val="20"/>
              </w:rPr>
              <w:t>pour l’an 2023</w:t>
            </w:r>
            <w:r>
              <w:rPr>
                <w:rFonts w:ascii="Arial" w:hAnsi="Arial" w:cs="Arial"/>
                <w:b/>
                <w:bCs/>
                <w:color w:val="000000"/>
                <w:sz w:val="20"/>
                <w:szCs w:val="20"/>
              </w:rPr>
              <w:t xml:space="preserve"> </w:t>
            </w:r>
            <w:r w:rsidRPr="00CD6272">
              <w:rPr>
                <w:rFonts w:ascii="Arial" w:hAnsi="Arial" w:cs="Arial"/>
                <w:color w:val="000000"/>
                <w:sz w:val="20"/>
                <w:szCs w:val="20"/>
              </w:rPr>
              <w:t>+</w:t>
            </w:r>
            <w:r w:rsidRPr="00C85CB4">
              <w:rPr>
                <w:rFonts w:ascii="Arial" w:hAnsi="Arial" w:cs="Arial"/>
                <w:sz w:val="20"/>
                <w:szCs w:val="20"/>
              </w:rPr>
              <w:t xml:space="preserve"> </w:t>
            </w:r>
          </w:p>
          <w:p w14:paraId="50F92189" w14:textId="77777777" w:rsidR="00A461C6" w:rsidRPr="00985478" w:rsidRDefault="00A461C6" w:rsidP="002D4074">
            <w:pPr>
              <w:spacing w:after="0" w:line="240" w:lineRule="auto"/>
              <w:jc w:val="both"/>
              <w:rPr>
                <w:rFonts w:ascii="Arial" w:hAnsi="Arial" w:cs="Arial"/>
                <w:b/>
                <w:bCs/>
                <w:color w:val="000000"/>
                <w:sz w:val="20"/>
                <w:szCs w:val="20"/>
              </w:rPr>
            </w:pPr>
            <w:r w:rsidRPr="00985478">
              <w:rPr>
                <w:rFonts w:ascii="Arial" w:hAnsi="Arial" w:cs="Arial"/>
                <w:b/>
                <w:bCs/>
                <w:color w:val="000000"/>
                <w:sz w:val="20"/>
                <w:szCs w:val="20"/>
              </w:rPr>
              <w:t xml:space="preserve">13 799 302 141 </w:t>
            </w:r>
            <w:r w:rsidRPr="00CD6272">
              <w:rPr>
                <w:rFonts w:ascii="Arial" w:hAnsi="Arial" w:cs="Arial"/>
                <w:color w:val="000000"/>
                <w:sz w:val="20"/>
                <w:szCs w:val="20"/>
              </w:rPr>
              <w:t>pour l’an 2022).</w:t>
            </w:r>
          </w:p>
          <w:p w14:paraId="0088564C" w14:textId="77777777" w:rsidR="00A461C6" w:rsidRPr="00985478" w:rsidRDefault="00A461C6" w:rsidP="002D4074">
            <w:pPr>
              <w:spacing w:after="0" w:line="240" w:lineRule="auto"/>
              <w:jc w:val="both"/>
              <w:rPr>
                <w:rFonts w:ascii="Arial" w:hAnsi="Arial" w:cs="Arial"/>
                <w:color w:val="262626" w:themeColor="text1" w:themeTint="D9"/>
                <w:sz w:val="20"/>
                <w:szCs w:val="20"/>
              </w:rPr>
            </w:pPr>
          </w:p>
        </w:tc>
      </w:tr>
      <w:tr w:rsidR="00A461C6" w:rsidRPr="00D54936" w14:paraId="06B45C62" w14:textId="77777777" w:rsidTr="002D4074">
        <w:trPr>
          <w:trHeight w:val="1238"/>
        </w:trPr>
        <w:tc>
          <w:tcPr>
            <w:tcW w:w="1756" w:type="dxa"/>
            <w:vMerge/>
            <w:vAlign w:val="center"/>
            <w:hideMark/>
          </w:tcPr>
          <w:p w14:paraId="409C177F" w14:textId="77777777" w:rsidR="00A461C6" w:rsidRPr="0051047E" w:rsidRDefault="00A461C6" w:rsidP="002D4074">
            <w:pPr>
              <w:spacing w:after="0" w:line="240" w:lineRule="auto"/>
              <w:rPr>
                <w:rFonts w:ascii="Arial" w:hAnsi="Arial" w:cs="Arial"/>
                <w:color w:val="262626" w:themeColor="text1" w:themeTint="D9"/>
                <w:sz w:val="20"/>
                <w:szCs w:val="20"/>
              </w:rPr>
            </w:pPr>
          </w:p>
        </w:tc>
        <w:tc>
          <w:tcPr>
            <w:tcW w:w="2193" w:type="dxa"/>
            <w:shd w:val="clear" w:color="auto" w:fill="auto"/>
            <w:vAlign w:val="center"/>
            <w:hideMark/>
          </w:tcPr>
          <w:p w14:paraId="3F3E39A4" w14:textId="77777777" w:rsidR="00A461C6" w:rsidRPr="0051047E" w:rsidRDefault="00A461C6" w:rsidP="002D4074">
            <w:pPr>
              <w:spacing w:after="0" w:line="240" w:lineRule="auto"/>
              <w:rPr>
                <w:rFonts w:ascii="Arial" w:hAnsi="Arial" w:cs="Arial"/>
                <w:color w:val="262626" w:themeColor="text1" w:themeTint="D9"/>
                <w:sz w:val="20"/>
                <w:szCs w:val="20"/>
              </w:rPr>
            </w:pPr>
            <w:r w:rsidRPr="0051047E">
              <w:rPr>
                <w:rFonts w:ascii="Arial" w:hAnsi="Arial" w:cs="Arial"/>
                <w:color w:val="262626" w:themeColor="text1" w:themeTint="D9"/>
                <w:sz w:val="20"/>
                <w:szCs w:val="20"/>
                <w:lang w:val="fr-LU"/>
              </w:rPr>
              <w:t>% Augmentation du volume annuel de crédit non agricole des IMF partenaires du projet</w:t>
            </w:r>
          </w:p>
        </w:tc>
        <w:tc>
          <w:tcPr>
            <w:tcW w:w="1620" w:type="dxa"/>
            <w:shd w:val="clear" w:color="auto" w:fill="auto"/>
            <w:vAlign w:val="center"/>
            <w:hideMark/>
          </w:tcPr>
          <w:p w14:paraId="51362A49" w14:textId="77777777" w:rsidR="00A461C6" w:rsidRPr="0051047E" w:rsidRDefault="00A461C6" w:rsidP="002D4074">
            <w:pPr>
              <w:spacing w:after="0" w:line="240" w:lineRule="auto"/>
              <w:jc w:val="right"/>
              <w:rPr>
                <w:rFonts w:ascii="Arial" w:hAnsi="Arial" w:cs="Arial"/>
                <w:color w:val="262626" w:themeColor="text1" w:themeTint="D9"/>
                <w:sz w:val="20"/>
                <w:szCs w:val="20"/>
              </w:rPr>
            </w:pPr>
            <w:r w:rsidRPr="0051047E">
              <w:rPr>
                <w:rFonts w:ascii="Arial" w:hAnsi="Arial" w:cs="Arial"/>
                <w:color w:val="262626" w:themeColor="text1" w:themeTint="D9"/>
                <w:sz w:val="20"/>
                <w:szCs w:val="20"/>
                <w:lang w:val="fr-LU"/>
              </w:rPr>
              <w:t>300%</w:t>
            </w:r>
          </w:p>
        </w:tc>
        <w:tc>
          <w:tcPr>
            <w:tcW w:w="1530" w:type="dxa"/>
            <w:shd w:val="clear" w:color="auto" w:fill="auto"/>
            <w:vAlign w:val="center"/>
          </w:tcPr>
          <w:p w14:paraId="260106F7" w14:textId="77777777" w:rsidR="00A461C6" w:rsidRPr="0051047E" w:rsidRDefault="00A461C6" w:rsidP="002D4074">
            <w:pPr>
              <w:spacing w:after="0" w:line="240" w:lineRule="auto"/>
              <w:jc w:val="right"/>
              <w:rPr>
                <w:rFonts w:ascii="Arial" w:hAnsi="Arial" w:cs="Arial"/>
                <w:color w:val="262626" w:themeColor="text1" w:themeTint="D9"/>
                <w:sz w:val="20"/>
                <w:szCs w:val="20"/>
              </w:rPr>
            </w:pPr>
            <w:r>
              <w:rPr>
                <w:rFonts w:ascii="Arial" w:hAnsi="Arial" w:cs="Arial"/>
                <w:color w:val="262626" w:themeColor="text1" w:themeTint="D9"/>
                <w:sz w:val="20"/>
                <w:szCs w:val="20"/>
              </w:rPr>
              <w:t>200%</w:t>
            </w:r>
          </w:p>
        </w:tc>
        <w:tc>
          <w:tcPr>
            <w:tcW w:w="1170" w:type="dxa"/>
            <w:shd w:val="clear" w:color="auto" w:fill="auto"/>
            <w:vAlign w:val="center"/>
          </w:tcPr>
          <w:p w14:paraId="10750069" w14:textId="77777777" w:rsidR="00A461C6" w:rsidRDefault="00A461C6" w:rsidP="002D4074">
            <w:pPr>
              <w:spacing w:after="0" w:line="240" w:lineRule="auto"/>
              <w:jc w:val="right"/>
              <w:rPr>
                <w:rFonts w:cs="Calibri"/>
                <w:b/>
                <w:bCs/>
                <w:color w:val="000000"/>
              </w:rPr>
            </w:pPr>
          </w:p>
          <w:p w14:paraId="739D64FA" w14:textId="77777777" w:rsidR="00A461C6" w:rsidRPr="00F25899" w:rsidRDefault="00A461C6" w:rsidP="002D4074">
            <w:pPr>
              <w:spacing w:after="0" w:line="240" w:lineRule="auto"/>
              <w:jc w:val="right"/>
              <w:rPr>
                <w:rFonts w:ascii="Arial" w:hAnsi="Arial" w:cs="Arial"/>
                <w:b/>
                <w:bCs/>
                <w:color w:val="262626" w:themeColor="text1" w:themeTint="D9"/>
                <w:sz w:val="20"/>
                <w:szCs w:val="20"/>
              </w:rPr>
            </w:pPr>
            <w:r w:rsidRPr="00F25899">
              <w:rPr>
                <w:rFonts w:ascii="Arial" w:hAnsi="Arial" w:cs="Arial"/>
                <w:b/>
                <w:bCs/>
                <w:color w:val="262626" w:themeColor="text1" w:themeTint="D9"/>
                <w:sz w:val="20"/>
                <w:szCs w:val="20"/>
              </w:rPr>
              <w:t>261%</w:t>
            </w:r>
          </w:p>
        </w:tc>
        <w:tc>
          <w:tcPr>
            <w:tcW w:w="1512" w:type="dxa"/>
            <w:shd w:val="clear" w:color="auto" w:fill="auto"/>
            <w:vAlign w:val="center"/>
          </w:tcPr>
          <w:p w14:paraId="7837CACB" w14:textId="77777777" w:rsidR="00A461C6" w:rsidRPr="00753377" w:rsidRDefault="00A461C6" w:rsidP="002D4074">
            <w:pPr>
              <w:spacing w:after="0" w:line="240" w:lineRule="auto"/>
              <w:jc w:val="right"/>
              <w:rPr>
                <w:rFonts w:ascii="Arial" w:hAnsi="Arial" w:cs="Arial"/>
                <w:b/>
                <w:bCs/>
                <w:color w:val="262626" w:themeColor="text1" w:themeTint="D9"/>
                <w:sz w:val="20"/>
                <w:szCs w:val="20"/>
              </w:rPr>
            </w:pPr>
            <w:r>
              <w:rPr>
                <w:rFonts w:ascii="Arial" w:hAnsi="Arial" w:cs="Arial"/>
                <w:b/>
                <w:bCs/>
                <w:color w:val="262626" w:themeColor="text1" w:themeTint="D9"/>
                <w:sz w:val="20"/>
                <w:szCs w:val="20"/>
              </w:rPr>
              <w:t>130%</w:t>
            </w:r>
          </w:p>
        </w:tc>
        <w:tc>
          <w:tcPr>
            <w:tcW w:w="5529" w:type="dxa"/>
            <w:shd w:val="clear" w:color="auto" w:fill="auto"/>
            <w:noWrap/>
            <w:vAlign w:val="bottom"/>
          </w:tcPr>
          <w:p w14:paraId="0F6BD73E" w14:textId="77777777" w:rsidR="00A461C6" w:rsidRPr="00CD6272" w:rsidRDefault="00A461C6" w:rsidP="002D4074">
            <w:pPr>
              <w:spacing w:after="0" w:line="240" w:lineRule="auto"/>
              <w:jc w:val="both"/>
              <w:rPr>
                <w:rFonts w:ascii="Arial" w:hAnsi="Arial" w:cs="Arial"/>
                <w:color w:val="000000"/>
                <w:sz w:val="20"/>
                <w:szCs w:val="20"/>
              </w:rPr>
            </w:pPr>
            <w:r w:rsidRPr="00CD6272">
              <w:rPr>
                <w:rFonts w:ascii="Arial" w:hAnsi="Arial" w:cs="Arial"/>
                <w:color w:val="000000" w:themeColor="text1"/>
                <w:sz w:val="20"/>
                <w:szCs w:val="20"/>
              </w:rPr>
              <w:t xml:space="preserve">Il s’agit des cumuls pour les déblocages effectues par les partenaires s totalisant </w:t>
            </w:r>
            <w:r w:rsidRPr="00CD6272">
              <w:rPr>
                <w:rFonts w:ascii="Arial" w:hAnsi="Arial" w:cs="Arial"/>
                <w:b/>
                <w:color w:val="000000" w:themeColor="text1"/>
                <w:sz w:val="20"/>
                <w:szCs w:val="20"/>
              </w:rPr>
              <w:t>15,371,485,872 BIF (12,830,218,263</w:t>
            </w:r>
            <w:r w:rsidRPr="00CD6272">
              <w:rPr>
                <w:rFonts w:ascii="Arial" w:hAnsi="Arial" w:cs="Arial"/>
                <w:color w:val="000000" w:themeColor="text1"/>
                <w:sz w:val="20"/>
                <w:szCs w:val="20"/>
              </w:rPr>
              <w:t xml:space="preserve"> </w:t>
            </w:r>
            <w:r w:rsidRPr="00CD6272">
              <w:rPr>
                <w:rFonts w:ascii="Arial" w:hAnsi="Arial" w:cs="Arial"/>
                <w:b/>
                <w:color w:val="000000" w:themeColor="text1"/>
                <w:sz w:val="20"/>
                <w:szCs w:val="20"/>
              </w:rPr>
              <w:t>Bif</w:t>
            </w:r>
            <w:r w:rsidRPr="00CD6272">
              <w:rPr>
                <w:rFonts w:ascii="Arial" w:hAnsi="Arial" w:cs="Arial"/>
                <w:color w:val="000000" w:themeColor="text1"/>
                <w:sz w:val="20"/>
                <w:szCs w:val="20"/>
              </w:rPr>
              <w:t xml:space="preserve"> pour l’an 2022</w:t>
            </w:r>
            <w:r>
              <w:rPr>
                <w:rFonts w:ascii="Arial" w:hAnsi="Arial" w:cs="Arial"/>
                <w:color w:val="000000" w:themeColor="text1"/>
                <w:sz w:val="20"/>
                <w:szCs w:val="20"/>
              </w:rPr>
              <w:t xml:space="preserve"> </w:t>
            </w:r>
            <w:r w:rsidRPr="00CD6272">
              <w:rPr>
                <w:rFonts w:ascii="Arial" w:hAnsi="Arial" w:cs="Arial"/>
                <w:color w:val="000000" w:themeColor="text1"/>
                <w:sz w:val="20"/>
                <w:szCs w:val="20"/>
              </w:rPr>
              <w:t>+</w:t>
            </w:r>
          </w:p>
          <w:p w14:paraId="372D24FD" w14:textId="77777777" w:rsidR="00A461C6" w:rsidRPr="00CD6272" w:rsidRDefault="00A461C6" w:rsidP="002D4074">
            <w:pPr>
              <w:spacing w:after="0" w:line="240" w:lineRule="auto"/>
              <w:jc w:val="both"/>
              <w:rPr>
                <w:rFonts w:ascii="Arial" w:hAnsi="Arial" w:cs="Arial"/>
                <w:b/>
                <w:bCs/>
                <w:color w:val="000000"/>
                <w:sz w:val="20"/>
                <w:szCs w:val="20"/>
              </w:rPr>
            </w:pPr>
            <w:r w:rsidRPr="00CD6272">
              <w:rPr>
                <w:rFonts w:ascii="Arial" w:hAnsi="Arial" w:cs="Arial"/>
                <w:b/>
                <w:bCs/>
                <w:color w:val="000000"/>
                <w:sz w:val="20"/>
                <w:szCs w:val="20"/>
              </w:rPr>
              <w:t xml:space="preserve">2,541,267,609 </w:t>
            </w:r>
            <w:r w:rsidRPr="00CD6272">
              <w:rPr>
                <w:rFonts w:ascii="Arial" w:hAnsi="Arial" w:cs="Arial"/>
                <w:color w:val="000000"/>
                <w:sz w:val="20"/>
                <w:szCs w:val="20"/>
              </w:rPr>
              <w:t>pour l’an 2023</w:t>
            </w:r>
            <w:r w:rsidRPr="00CD6272">
              <w:rPr>
                <w:rFonts w:ascii="Arial" w:hAnsi="Arial" w:cs="Arial"/>
                <w:b/>
                <w:bCs/>
                <w:color w:val="000000"/>
                <w:sz w:val="20"/>
                <w:szCs w:val="20"/>
              </w:rPr>
              <w:t>)</w:t>
            </w:r>
            <w:r>
              <w:rPr>
                <w:rFonts w:ascii="Arial" w:hAnsi="Arial" w:cs="Arial"/>
                <w:b/>
                <w:bCs/>
                <w:color w:val="000000"/>
                <w:sz w:val="20"/>
                <w:szCs w:val="20"/>
              </w:rPr>
              <w:t>.</w:t>
            </w:r>
          </w:p>
          <w:p w14:paraId="59F0D1FA" w14:textId="77777777" w:rsidR="00A461C6" w:rsidRPr="00C85CB4" w:rsidRDefault="00A461C6" w:rsidP="002D4074">
            <w:pPr>
              <w:spacing w:after="0" w:line="240" w:lineRule="auto"/>
              <w:jc w:val="both"/>
              <w:rPr>
                <w:rFonts w:ascii="Arial" w:hAnsi="Arial" w:cs="Arial"/>
                <w:color w:val="262626" w:themeColor="text1" w:themeTint="D9"/>
                <w:sz w:val="20"/>
                <w:szCs w:val="20"/>
              </w:rPr>
            </w:pPr>
            <w:r w:rsidRPr="00CD6272">
              <w:rPr>
                <w:rFonts w:ascii="Arial" w:hAnsi="Arial" w:cs="Arial"/>
                <w:color w:val="000000"/>
                <w:sz w:val="20"/>
                <w:szCs w:val="20"/>
              </w:rPr>
              <w:t xml:space="preserve"> </w:t>
            </w:r>
          </w:p>
        </w:tc>
      </w:tr>
      <w:tr w:rsidR="00A461C6" w:rsidRPr="00D54936" w14:paraId="24F52CD2" w14:textId="77777777" w:rsidTr="002D4074">
        <w:trPr>
          <w:trHeight w:val="1017"/>
        </w:trPr>
        <w:tc>
          <w:tcPr>
            <w:tcW w:w="1756" w:type="dxa"/>
            <w:vMerge w:val="restart"/>
            <w:shd w:val="clear" w:color="auto" w:fill="auto"/>
            <w:vAlign w:val="center"/>
            <w:hideMark/>
          </w:tcPr>
          <w:p w14:paraId="5048D90B" w14:textId="77777777" w:rsidR="00A461C6" w:rsidRPr="0051047E" w:rsidRDefault="00A461C6" w:rsidP="002D4074">
            <w:pPr>
              <w:spacing w:after="0" w:line="240" w:lineRule="auto"/>
              <w:jc w:val="center"/>
              <w:rPr>
                <w:rFonts w:ascii="Arial" w:hAnsi="Arial" w:cs="Arial"/>
                <w:color w:val="262626" w:themeColor="text1" w:themeTint="D9"/>
                <w:sz w:val="20"/>
                <w:szCs w:val="20"/>
              </w:rPr>
            </w:pPr>
            <w:r w:rsidRPr="0051047E">
              <w:rPr>
                <w:rFonts w:ascii="Arial" w:hAnsi="Arial" w:cs="Arial"/>
                <w:color w:val="262626" w:themeColor="text1" w:themeTint="D9"/>
                <w:sz w:val="20"/>
                <w:szCs w:val="20"/>
              </w:rPr>
              <w:t xml:space="preserve">RI300. Développement des produits, services et approches </w:t>
            </w:r>
            <w:r w:rsidRPr="0051047E">
              <w:rPr>
                <w:rFonts w:ascii="Arial" w:hAnsi="Arial" w:cs="Arial"/>
                <w:color w:val="262626" w:themeColor="text1" w:themeTint="D9"/>
                <w:sz w:val="20"/>
                <w:szCs w:val="20"/>
              </w:rPr>
              <w:lastRenderedPageBreak/>
              <w:t>innovants visant l’inclusion financière rurale</w:t>
            </w:r>
          </w:p>
        </w:tc>
        <w:tc>
          <w:tcPr>
            <w:tcW w:w="2193" w:type="dxa"/>
            <w:shd w:val="clear" w:color="auto" w:fill="auto"/>
            <w:vAlign w:val="center"/>
            <w:hideMark/>
          </w:tcPr>
          <w:p w14:paraId="15BB52BD" w14:textId="77777777" w:rsidR="00A461C6" w:rsidRPr="0051047E" w:rsidRDefault="00A461C6" w:rsidP="002D4074">
            <w:pPr>
              <w:spacing w:after="0" w:line="240" w:lineRule="auto"/>
              <w:rPr>
                <w:rFonts w:ascii="Arial" w:hAnsi="Arial" w:cs="Arial"/>
                <w:color w:val="262626" w:themeColor="text1" w:themeTint="D9"/>
                <w:sz w:val="20"/>
                <w:szCs w:val="20"/>
              </w:rPr>
            </w:pPr>
            <w:r w:rsidRPr="0051047E">
              <w:rPr>
                <w:rFonts w:ascii="Arial" w:hAnsi="Arial" w:cs="Arial"/>
                <w:color w:val="262626" w:themeColor="text1" w:themeTint="D9"/>
                <w:sz w:val="20"/>
                <w:szCs w:val="20"/>
                <w:lang w:val="fr-LU"/>
              </w:rPr>
              <w:lastRenderedPageBreak/>
              <w:t>Nouveaux utilisateurs de comptes de Mobile Money en zones rurales</w:t>
            </w:r>
          </w:p>
        </w:tc>
        <w:tc>
          <w:tcPr>
            <w:tcW w:w="1620" w:type="dxa"/>
            <w:shd w:val="clear" w:color="auto" w:fill="auto"/>
            <w:vAlign w:val="center"/>
            <w:hideMark/>
          </w:tcPr>
          <w:p w14:paraId="4E61EB09" w14:textId="77777777" w:rsidR="00A461C6" w:rsidRPr="0051047E" w:rsidRDefault="00A461C6" w:rsidP="002D4074">
            <w:pPr>
              <w:spacing w:after="0" w:line="240" w:lineRule="auto"/>
              <w:jc w:val="right"/>
              <w:rPr>
                <w:rFonts w:ascii="Arial" w:hAnsi="Arial" w:cs="Arial"/>
                <w:color w:val="262626" w:themeColor="text1" w:themeTint="D9"/>
                <w:sz w:val="20"/>
                <w:szCs w:val="20"/>
              </w:rPr>
            </w:pPr>
            <w:r w:rsidRPr="0051047E">
              <w:rPr>
                <w:rFonts w:ascii="Arial" w:hAnsi="Arial" w:cs="Arial"/>
                <w:color w:val="262626" w:themeColor="text1" w:themeTint="D9"/>
                <w:sz w:val="20"/>
                <w:szCs w:val="20"/>
                <w:lang w:val="fr-LU"/>
              </w:rPr>
              <w:t>50</w:t>
            </w:r>
            <w:r>
              <w:rPr>
                <w:rFonts w:ascii="Arial" w:hAnsi="Arial" w:cs="Arial"/>
                <w:color w:val="262626" w:themeColor="text1" w:themeTint="D9"/>
                <w:sz w:val="20"/>
                <w:szCs w:val="20"/>
                <w:lang w:val="fr-LU"/>
              </w:rPr>
              <w:t xml:space="preserve"> </w:t>
            </w:r>
            <w:r w:rsidRPr="0051047E">
              <w:rPr>
                <w:rFonts w:ascii="Arial" w:hAnsi="Arial" w:cs="Arial"/>
                <w:color w:val="262626" w:themeColor="text1" w:themeTint="D9"/>
                <w:sz w:val="20"/>
                <w:szCs w:val="20"/>
                <w:lang w:val="fr-LU"/>
              </w:rPr>
              <w:t>000</w:t>
            </w:r>
          </w:p>
        </w:tc>
        <w:tc>
          <w:tcPr>
            <w:tcW w:w="1530" w:type="dxa"/>
            <w:shd w:val="clear" w:color="auto" w:fill="FFFFFF" w:themeFill="background1"/>
            <w:vAlign w:val="center"/>
          </w:tcPr>
          <w:p w14:paraId="1D8291F6" w14:textId="77777777" w:rsidR="00A461C6" w:rsidRPr="0051047E" w:rsidRDefault="00A461C6" w:rsidP="002D4074">
            <w:pPr>
              <w:spacing w:after="0" w:line="240" w:lineRule="auto"/>
              <w:jc w:val="right"/>
              <w:rPr>
                <w:rFonts w:ascii="Arial" w:hAnsi="Arial" w:cs="Arial"/>
                <w:color w:val="262626" w:themeColor="text1" w:themeTint="D9"/>
                <w:sz w:val="20"/>
                <w:szCs w:val="20"/>
              </w:rPr>
            </w:pPr>
            <w:r w:rsidRPr="0051047E">
              <w:rPr>
                <w:rFonts w:ascii="Arial" w:hAnsi="Arial" w:cs="Arial"/>
                <w:color w:val="262626" w:themeColor="text1" w:themeTint="D9"/>
                <w:sz w:val="20"/>
                <w:szCs w:val="20"/>
              </w:rPr>
              <w:t>18</w:t>
            </w:r>
            <w:r>
              <w:rPr>
                <w:rFonts w:ascii="Arial" w:hAnsi="Arial" w:cs="Arial"/>
                <w:color w:val="262626" w:themeColor="text1" w:themeTint="D9"/>
                <w:sz w:val="20"/>
                <w:szCs w:val="20"/>
              </w:rPr>
              <w:t xml:space="preserve"> </w:t>
            </w:r>
            <w:r w:rsidRPr="0051047E">
              <w:rPr>
                <w:rFonts w:ascii="Arial" w:hAnsi="Arial" w:cs="Arial"/>
                <w:color w:val="262626" w:themeColor="text1" w:themeTint="D9"/>
                <w:sz w:val="20"/>
                <w:szCs w:val="20"/>
              </w:rPr>
              <w:t>200</w:t>
            </w:r>
          </w:p>
        </w:tc>
        <w:tc>
          <w:tcPr>
            <w:tcW w:w="1170" w:type="dxa"/>
            <w:shd w:val="clear" w:color="auto" w:fill="auto"/>
            <w:vAlign w:val="center"/>
          </w:tcPr>
          <w:p w14:paraId="35264E1A" w14:textId="77777777" w:rsidR="00A461C6" w:rsidRPr="0051047E" w:rsidRDefault="00A461C6" w:rsidP="002D4074">
            <w:pPr>
              <w:spacing w:after="0" w:line="240" w:lineRule="auto"/>
              <w:jc w:val="right"/>
              <w:rPr>
                <w:rFonts w:ascii="Arial" w:hAnsi="Arial" w:cs="Arial"/>
                <w:color w:val="262626" w:themeColor="text1" w:themeTint="D9"/>
                <w:sz w:val="20"/>
                <w:szCs w:val="20"/>
              </w:rPr>
            </w:pPr>
            <w:r>
              <w:rPr>
                <w:rFonts w:ascii="Arial" w:hAnsi="Arial" w:cs="Arial"/>
                <w:color w:val="262626" w:themeColor="text1" w:themeTint="D9"/>
                <w:sz w:val="20"/>
                <w:szCs w:val="20"/>
                <w:lang w:val="en-US"/>
              </w:rPr>
              <w:t>26</w:t>
            </w:r>
            <w:r w:rsidRPr="0051047E">
              <w:rPr>
                <w:rFonts w:ascii="Arial" w:hAnsi="Arial" w:cs="Arial"/>
                <w:color w:val="262626" w:themeColor="text1" w:themeTint="D9"/>
                <w:sz w:val="20"/>
                <w:szCs w:val="20"/>
                <w:lang w:val="en-US"/>
              </w:rPr>
              <w:t xml:space="preserve"> </w:t>
            </w:r>
            <w:r>
              <w:rPr>
                <w:rFonts w:ascii="Arial" w:hAnsi="Arial" w:cs="Arial"/>
                <w:color w:val="262626" w:themeColor="text1" w:themeTint="D9"/>
                <w:sz w:val="20"/>
                <w:szCs w:val="20"/>
                <w:lang w:val="en-US"/>
              </w:rPr>
              <w:t>255</w:t>
            </w:r>
          </w:p>
        </w:tc>
        <w:tc>
          <w:tcPr>
            <w:tcW w:w="1512" w:type="dxa"/>
            <w:shd w:val="clear" w:color="auto" w:fill="auto"/>
            <w:vAlign w:val="center"/>
          </w:tcPr>
          <w:p w14:paraId="198F1D14" w14:textId="77777777" w:rsidR="00A461C6" w:rsidRPr="00AD0646" w:rsidRDefault="00A461C6" w:rsidP="002D4074">
            <w:pPr>
              <w:spacing w:after="0" w:line="240" w:lineRule="auto"/>
              <w:jc w:val="right"/>
              <w:rPr>
                <w:rFonts w:ascii="Arial" w:hAnsi="Arial" w:cs="Arial"/>
                <w:b/>
                <w:bCs/>
                <w:color w:val="262626" w:themeColor="text1" w:themeTint="D9"/>
                <w:sz w:val="20"/>
                <w:szCs w:val="20"/>
              </w:rPr>
            </w:pPr>
            <w:r w:rsidRPr="00AD0646">
              <w:rPr>
                <w:rFonts w:ascii="Arial" w:hAnsi="Arial" w:cs="Arial"/>
                <w:b/>
                <w:bCs/>
                <w:color w:val="262626" w:themeColor="text1" w:themeTint="D9"/>
                <w:sz w:val="20"/>
                <w:szCs w:val="20"/>
              </w:rPr>
              <w:t>144%</w:t>
            </w:r>
          </w:p>
        </w:tc>
        <w:tc>
          <w:tcPr>
            <w:tcW w:w="5529" w:type="dxa"/>
            <w:shd w:val="clear" w:color="auto" w:fill="auto"/>
            <w:noWrap/>
            <w:vAlign w:val="bottom"/>
          </w:tcPr>
          <w:p w14:paraId="225B55BE" w14:textId="77777777" w:rsidR="00A461C6" w:rsidRPr="0051047E" w:rsidRDefault="00A461C6" w:rsidP="002D4074">
            <w:pPr>
              <w:spacing w:after="0" w:line="240" w:lineRule="auto"/>
              <w:jc w:val="both"/>
              <w:rPr>
                <w:rFonts w:ascii="Arial" w:hAnsi="Arial" w:cs="Arial"/>
                <w:color w:val="262626" w:themeColor="text1" w:themeTint="D9"/>
                <w:sz w:val="20"/>
                <w:szCs w:val="20"/>
              </w:rPr>
            </w:pPr>
            <w:r w:rsidRPr="50CCE921">
              <w:rPr>
                <w:rFonts w:ascii="Arial" w:hAnsi="Arial" w:cs="Arial"/>
                <w:color w:val="262626" w:themeColor="text1" w:themeTint="D9"/>
                <w:sz w:val="20"/>
                <w:szCs w:val="20"/>
              </w:rPr>
              <w:t>Ce taux de réalisation est dû aux activités planifiées et faites par l’IMF UCODE qui a pu ouv</w:t>
            </w:r>
            <w:r>
              <w:rPr>
                <w:rFonts w:ascii="Arial" w:hAnsi="Arial" w:cs="Arial"/>
                <w:color w:val="262626" w:themeColor="text1" w:themeTint="D9"/>
                <w:sz w:val="20"/>
                <w:szCs w:val="20"/>
              </w:rPr>
              <w:t xml:space="preserve">rir </w:t>
            </w:r>
            <w:r w:rsidRPr="50CCE921">
              <w:rPr>
                <w:rFonts w:ascii="Arial" w:hAnsi="Arial" w:cs="Arial"/>
                <w:color w:val="262626" w:themeColor="text1" w:themeTint="D9"/>
                <w:sz w:val="20"/>
                <w:szCs w:val="20"/>
              </w:rPr>
              <w:t>les comptes digitaux et qui sont directement liés aux comptes classiques ouvert dans les livres de l’IMF. Le total est 26 255 nouveaux utilisateurs de compte mobile dont 23</w:t>
            </w:r>
            <w:r>
              <w:rPr>
                <w:rFonts w:ascii="Arial" w:hAnsi="Arial" w:cs="Arial"/>
                <w:color w:val="262626" w:themeColor="text1" w:themeTint="D9"/>
                <w:sz w:val="20"/>
                <w:szCs w:val="20"/>
              </w:rPr>
              <w:t xml:space="preserve"> </w:t>
            </w:r>
            <w:r w:rsidRPr="50CCE921">
              <w:rPr>
                <w:rFonts w:ascii="Arial" w:hAnsi="Arial" w:cs="Arial"/>
                <w:color w:val="262626" w:themeColor="text1" w:themeTint="D9"/>
                <w:sz w:val="20"/>
                <w:szCs w:val="20"/>
              </w:rPr>
              <w:t xml:space="preserve">154 comptes mappés par l’IMF </w:t>
            </w:r>
            <w:r w:rsidRPr="50CCE921">
              <w:rPr>
                <w:rFonts w:ascii="Arial" w:hAnsi="Arial" w:cs="Arial"/>
                <w:color w:val="262626" w:themeColor="text1" w:themeTint="D9"/>
                <w:sz w:val="20"/>
                <w:szCs w:val="20"/>
              </w:rPr>
              <w:lastRenderedPageBreak/>
              <w:t>partenaire UCODE et 3 101 comptes mappés par l’IMF CECM.</w:t>
            </w:r>
          </w:p>
        </w:tc>
      </w:tr>
      <w:tr w:rsidR="00A461C6" w:rsidRPr="00D54936" w14:paraId="3121BC53" w14:textId="77777777" w:rsidTr="002D4074">
        <w:trPr>
          <w:trHeight w:val="618"/>
        </w:trPr>
        <w:tc>
          <w:tcPr>
            <w:tcW w:w="1756" w:type="dxa"/>
            <w:vMerge/>
            <w:vAlign w:val="center"/>
            <w:hideMark/>
          </w:tcPr>
          <w:p w14:paraId="6CC5431C" w14:textId="77777777" w:rsidR="00A461C6" w:rsidRPr="0051047E" w:rsidRDefault="00A461C6" w:rsidP="002D4074">
            <w:pPr>
              <w:spacing w:after="0" w:line="240" w:lineRule="auto"/>
              <w:rPr>
                <w:rFonts w:ascii="Arial" w:hAnsi="Arial" w:cs="Arial"/>
                <w:color w:val="262626" w:themeColor="text1" w:themeTint="D9"/>
                <w:sz w:val="20"/>
                <w:szCs w:val="20"/>
              </w:rPr>
            </w:pPr>
          </w:p>
        </w:tc>
        <w:tc>
          <w:tcPr>
            <w:tcW w:w="2193" w:type="dxa"/>
            <w:shd w:val="clear" w:color="auto" w:fill="auto"/>
            <w:vAlign w:val="center"/>
            <w:hideMark/>
          </w:tcPr>
          <w:p w14:paraId="66AC8CAB" w14:textId="77777777" w:rsidR="00A461C6" w:rsidRPr="0051047E" w:rsidRDefault="00A461C6" w:rsidP="002D4074">
            <w:pPr>
              <w:spacing w:after="0" w:line="240" w:lineRule="auto"/>
              <w:rPr>
                <w:rFonts w:ascii="Arial" w:hAnsi="Arial" w:cs="Arial"/>
                <w:color w:val="262626" w:themeColor="text1" w:themeTint="D9"/>
                <w:sz w:val="20"/>
                <w:szCs w:val="20"/>
              </w:rPr>
            </w:pPr>
            <w:r w:rsidRPr="0051047E">
              <w:rPr>
                <w:rFonts w:ascii="Arial" w:hAnsi="Arial" w:cs="Arial"/>
                <w:color w:val="262626" w:themeColor="text1" w:themeTint="D9"/>
                <w:sz w:val="20"/>
                <w:szCs w:val="20"/>
                <w:lang w:val="fr-LU"/>
              </w:rPr>
              <w:t>Nombre de canaux de distribution innovants appuyés par le projet</w:t>
            </w:r>
          </w:p>
        </w:tc>
        <w:tc>
          <w:tcPr>
            <w:tcW w:w="1620" w:type="dxa"/>
            <w:shd w:val="clear" w:color="auto" w:fill="auto"/>
            <w:vAlign w:val="center"/>
            <w:hideMark/>
          </w:tcPr>
          <w:p w14:paraId="049D73EF" w14:textId="77777777" w:rsidR="00A461C6" w:rsidRPr="0051047E" w:rsidRDefault="00A461C6" w:rsidP="002D4074">
            <w:pPr>
              <w:spacing w:after="0" w:line="240" w:lineRule="auto"/>
              <w:jc w:val="right"/>
              <w:rPr>
                <w:rFonts w:ascii="Arial" w:hAnsi="Arial" w:cs="Arial"/>
                <w:color w:val="262626" w:themeColor="text1" w:themeTint="D9"/>
                <w:sz w:val="20"/>
                <w:szCs w:val="20"/>
              </w:rPr>
            </w:pPr>
            <w:r w:rsidRPr="0051047E">
              <w:rPr>
                <w:rFonts w:ascii="Arial" w:hAnsi="Arial" w:cs="Arial"/>
                <w:color w:val="262626" w:themeColor="text1" w:themeTint="D9"/>
                <w:sz w:val="20"/>
                <w:szCs w:val="20"/>
                <w:lang w:val="fr-LU"/>
              </w:rPr>
              <w:t>2</w:t>
            </w:r>
          </w:p>
        </w:tc>
        <w:tc>
          <w:tcPr>
            <w:tcW w:w="1530" w:type="dxa"/>
            <w:shd w:val="clear" w:color="auto" w:fill="auto"/>
            <w:vAlign w:val="center"/>
          </w:tcPr>
          <w:p w14:paraId="27755C4F" w14:textId="77777777" w:rsidR="00A461C6" w:rsidRPr="0051047E" w:rsidRDefault="00A461C6" w:rsidP="002D4074">
            <w:pPr>
              <w:spacing w:after="0" w:line="240" w:lineRule="auto"/>
              <w:jc w:val="right"/>
              <w:rPr>
                <w:rFonts w:ascii="Arial" w:hAnsi="Arial" w:cs="Arial"/>
                <w:color w:val="262626" w:themeColor="text1" w:themeTint="D9"/>
                <w:sz w:val="20"/>
                <w:szCs w:val="20"/>
              </w:rPr>
            </w:pPr>
            <w:r w:rsidRPr="0051047E">
              <w:rPr>
                <w:rFonts w:ascii="Arial" w:hAnsi="Arial" w:cs="Arial"/>
                <w:color w:val="262626" w:themeColor="text1" w:themeTint="D9"/>
                <w:sz w:val="20"/>
                <w:szCs w:val="20"/>
              </w:rPr>
              <w:t>2</w:t>
            </w:r>
          </w:p>
        </w:tc>
        <w:tc>
          <w:tcPr>
            <w:tcW w:w="1170" w:type="dxa"/>
            <w:shd w:val="clear" w:color="auto" w:fill="auto"/>
            <w:vAlign w:val="center"/>
          </w:tcPr>
          <w:p w14:paraId="5C631D49" w14:textId="77777777" w:rsidR="00A461C6" w:rsidRPr="0051047E" w:rsidRDefault="00A461C6" w:rsidP="002D4074">
            <w:pPr>
              <w:spacing w:after="0" w:line="240" w:lineRule="auto"/>
              <w:jc w:val="right"/>
              <w:rPr>
                <w:rFonts w:ascii="Arial" w:hAnsi="Arial" w:cs="Arial"/>
                <w:color w:val="262626" w:themeColor="text1" w:themeTint="D9"/>
                <w:sz w:val="20"/>
                <w:szCs w:val="20"/>
              </w:rPr>
            </w:pPr>
            <w:r w:rsidRPr="0051047E">
              <w:rPr>
                <w:rFonts w:ascii="Arial" w:hAnsi="Arial" w:cs="Arial"/>
                <w:color w:val="262626" w:themeColor="text1" w:themeTint="D9"/>
                <w:sz w:val="20"/>
                <w:szCs w:val="20"/>
                <w:lang w:val="fr-LU"/>
              </w:rPr>
              <w:t>3</w:t>
            </w:r>
          </w:p>
        </w:tc>
        <w:tc>
          <w:tcPr>
            <w:tcW w:w="1512" w:type="dxa"/>
            <w:shd w:val="clear" w:color="auto" w:fill="auto"/>
            <w:vAlign w:val="center"/>
          </w:tcPr>
          <w:p w14:paraId="61676A82" w14:textId="77777777" w:rsidR="00A461C6" w:rsidRPr="0051047E" w:rsidRDefault="00A461C6" w:rsidP="002D4074">
            <w:pPr>
              <w:spacing w:after="0" w:line="240" w:lineRule="auto"/>
              <w:jc w:val="right"/>
              <w:rPr>
                <w:rFonts w:ascii="Arial" w:hAnsi="Arial" w:cs="Arial"/>
                <w:color w:val="262626" w:themeColor="text1" w:themeTint="D9"/>
                <w:sz w:val="20"/>
                <w:szCs w:val="20"/>
              </w:rPr>
            </w:pPr>
            <w:r w:rsidRPr="0051047E">
              <w:rPr>
                <w:rFonts w:ascii="Arial" w:hAnsi="Arial" w:cs="Arial"/>
                <w:color w:val="262626" w:themeColor="text1" w:themeTint="D9"/>
                <w:sz w:val="20"/>
                <w:szCs w:val="20"/>
              </w:rPr>
              <w:t>150</w:t>
            </w:r>
            <w:r>
              <w:rPr>
                <w:rFonts w:ascii="Arial" w:hAnsi="Arial" w:cs="Arial"/>
                <w:color w:val="262626" w:themeColor="text1" w:themeTint="D9"/>
                <w:sz w:val="20"/>
                <w:szCs w:val="20"/>
              </w:rPr>
              <w:t>%</w:t>
            </w:r>
          </w:p>
        </w:tc>
        <w:tc>
          <w:tcPr>
            <w:tcW w:w="5529" w:type="dxa"/>
            <w:shd w:val="clear" w:color="auto" w:fill="auto"/>
            <w:noWrap/>
            <w:vAlign w:val="bottom"/>
          </w:tcPr>
          <w:p w14:paraId="576DFA22" w14:textId="77777777" w:rsidR="00A461C6" w:rsidRPr="0051047E" w:rsidRDefault="00A461C6" w:rsidP="002D4074">
            <w:pPr>
              <w:spacing w:after="0" w:line="240" w:lineRule="auto"/>
              <w:jc w:val="both"/>
              <w:rPr>
                <w:rFonts w:ascii="Arial" w:hAnsi="Arial" w:cs="Arial"/>
                <w:color w:val="262626" w:themeColor="text1" w:themeTint="D9"/>
                <w:sz w:val="20"/>
                <w:szCs w:val="20"/>
                <w:u w:val="single"/>
              </w:rPr>
            </w:pPr>
            <w:r w:rsidRPr="50CCE921">
              <w:rPr>
                <w:rFonts w:ascii="Arial" w:hAnsi="Arial" w:cs="Arial"/>
                <w:color w:val="262626" w:themeColor="text1" w:themeTint="D9"/>
                <w:sz w:val="20"/>
                <w:szCs w:val="20"/>
              </w:rPr>
              <w:t xml:space="preserve">Ces trois canaux innovants sont : </w:t>
            </w:r>
            <w:r w:rsidRPr="00CD6272">
              <w:rPr>
                <w:rFonts w:ascii="Arial" w:hAnsi="Arial" w:cs="Arial"/>
                <w:color w:val="262626" w:themeColor="text1" w:themeTint="D9"/>
                <w:sz w:val="20"/>
                <w:szCs w:val="20"/>
              </w:rPr>
              <w:t xml:space="preserve">UCODE IWACU de l’UCODE MF, TWITCASH de TWITEZIMBERE Microfinance </w:t>
            </w:r>
            <w:r w:rsidRPr="00C07983">
              <w:rPr>
                <w:rFonts w:ascii="Arial" w:hAnsi="Arial" w:cs="Arial"/>
                <w:color w:val="262626" w:themeColor="text1" w:themeTint="D9"/>
                <w:sz w:val="20"/>
                <w:szCs w:val="20"/>
              </w:rPr>
              <w:t>et NI AKARAVYO de CECM</w:t>
            </w:r>
            <w:r w:rsidRPr="50CCE921">
              <w:rPr>
                <w:rFonts w:ascii="Arial" w:hAnsi="Arial" w:cs="Arial"/>
                <w:color w:val="262626" w:themeColor="text1" w:themeTint="D9"/>
                <w:sz w:val="20"/>
                <w:szCs w:val="20"/>
              </w:rPr>
              <w:t>.</w:t>
            </w:r>
          </w:p>
        </w:tc>
      </w:tr>
      <w:tr w:rsidR="00A461C6" w:rsidRPr="00D54936" w14:paraId="7E6015D6" w14:textId="77777777" w:rsidTr="002D4074">
        <w:trPr>
          <w:trHeight w:val="618"/>
        </w:trPr>
        <w:tc>
          <w:tcPr>
            <w:tcW w:w="1756" w:type="dxa"/>
            <w:vMerge/>
            <w:vAlign w:val="center"/>
            <w:hideMark/>
          </w:tcPr>
          <w:p w14:paraId="76428B0D" w14:textId="77777777" w:rsidR="00A461C6" w:rsidRPr="0051047E" w:rsidRDefault="00A461C6" w:rsidP="002D4074">
            <w:pPr>
              <w:spacing w:after="0" w:line="240" w:lineRule="auto"/>
              <w:rPr>
                <w:rFonts w:ascii="Arial" w:hAnsi="Arial" w:cs="Arial"/>
                <w:color w:val="262626" w:themeColor="text1" w:themeTint="D9"/>
                <w:sz w:val="20"/>
                <w:szCs w:val="20"/>
              </w:rPr>
            </w:pPr>
          </w:p>
        </w:tc>
        <w:tc>
          <w:tcPr>
            <w:tcW w:w="2193" w:type="dxa"/>
            <w:shd w:val="clear" w:color="auto" w:fill="auto"/>
            <w:vAlign w:val="center"/>
            <w:hideMark/>
          </w:tcPr>
          <w:p w14:paraId="71DD55D3" w14:textId="77777777" w:rsidR="00A461C6" w:rsidRPr="0051047E" w:rsidRDefault="00A461C6" w:rsidP="002D4074">
            <w:pPr>
              <w:spacing w:after="0" w:line="240" w:lineRule="auto"/>
              <w:rPr>
                <w:rFonts w:ascii="Arial" w:hAnsi="Arial" w:cs="Arial"/>
                <w:color w:val="262626" w:themeColor="text1" w:themeTint="D9"/>
                <w:sz w:val="20"/>
                <w:szCs w:val="20"/>
              </w:rPr>
            </w:pPr>
            <w:r w:rsidRPr="0051047E">
              <w:rPr>
                <w:rFonts w:ascii="Arial" w:hAnsi="Arial" w:cs="Arial"/>
                <w:color w:val="262626" w:themeColor="text1" w:themeTint="D9"/>
                <w:sz w:val="20"/>
                <w:szCs w:val="20"/>
                <w:lang w:val="fr-LU"/>
              </w:rPr>
              <w:t># nouveaux clients ruraux participent à un plan de micro-assurance</w:t>
            </w:r>
          </w:p>
        </w:tc>
        <w:tc>
          <w:tcPr>
            <w:tcW w:w="1620" w:type="dxa"/>
            <w:shd w:val="clear" w:color="auto" w:fill="FFFFFF" w:themeFill="background1"/>
            <w:vAlign w:val="center"/>
            <w:hideMark/>
          </w:tcPr>
          <w:p w14:paraId="53327344" w14:textId="77777777" w:rsidR="00A461C6" w:rsidRPr="0051047E" w:rsidRDefault="00A461C6" w:rsidP="002D4074">
            <w:pPr>
              <w:spacing w:after="0" w:line="240" w:lineRule="auto"/>
              <w:jc w:val="right"/>
              <w:rPr>
                <w:rFonts w:ascii="Arial" w:hAnsi="Arial" w:cs="Arial"/>
                <w:color w:val="262626" w:themeColor="text1" w:themeTint="D9"/>
                <w:sz w:val="20"/>
                <w:szCs w:val="20"/>
              </w:rPr>
            </w:pPr>
            <w:r>
              <w:rPr>
                <w:rFonts w:ascii="Arial" w:hAnsi="Arial" w:cs="Arial"/>
                <w:color w:val="262626" w:themeColor="text1" w:themeTint="D9"/>
                <w:sz w:val="20"/>
                <w:szCs w:val="20"/>
                <w:lang w:val="fr-LU"/>
              </w:rPr>
              <w:t>10 000</w:t>
            </w:r>
          </w:p>
        </w:tc>
        <w:tc>
          <w:tcPr>
            <w:tcW w:w="1530" w:type="dxa"/>
            <w:shd w:val="clear" w:color="auto" w:fill="auto"/>
            <w:vAlign w:val="center"/>
          </w:tcPr>
          <w:p w14:paraId="517CDC08" w14:textId="77777777" w:rsidR="00A461C6" w:rsidRPr="0051047E" w:rsidRDefault="00A461C6" w:rsidP="002D4074">
            <w:pPr>
              <w:spacing w:after="0" w:line="240" w:lineRule="auto"/>
              <w:jc w:val="right"/>
              <w:rPr>
                <w:rFonts w:ascii="Arial" w:hAnsi="Arial" w:cs="Arial"/>
                <w:color w:val="262626" w:themeColor="text1" w:themeTint="D9"/>
                <w:sz w:val="20"/>
                <w:szCs w:val="20"/>
              </w:rPr>
            </w:pPr>
            <w:r>
              <w:rPr>
                <w:rFonts w:ascii="Arial" w:hAnsi="Arial" w:cs="Arial"/>
                <w:color w:val="262626" w:themeColor="text1" w:themeTint="D9"/>
                <w:sz w:val="20"/>
                <w:szCs w:val="20"/>
              </w:rPr>
              <w:t>10 000</w:t>
            </w:r>
          </w:p>
        </w:tc>
        <w:tc>
          <w:tcPr>
            <w:tcW w:w="1170" w:type="dxa"/>
            <w:shd w:val="clear" w:color="auto" w:fill="auto"/>
            <w:vAlign w:val="center"/>
          </w:tcPr>
          <w:p w14:paraId="3E120110" w14:textId="77777777" w:rsidR="00A461C6" w:rsidRPr="0051047E" w:rsidRDefault="00A461C6" w:rsidP="002D4074">
            <w:pPr>
              <w:spacing w:after="0" w:line="240" w:lineRule="auto"/>
              <w:jc w:val="right"/>
              <w:rPr>
                <w:rFonts w:ascii="Arial" w:hAnsi="Arial" w:cs="Arial"/>
                <w:color w:val="262626" w:themeColor="text1" w:themeTint="D9"/>
                <w:sz w:val="20"/>
                <w:szCs w:val="20"/>
              </w:rPr>
            </w:pPr>
            <w:r>
              <w:rPr>
                <w:rFonts w:ascii="Arial" w:hAnsi="Arial" w:cs="Arial"/>
                <w:color w:val="262626" w:themeColor="text1" w:themeTint="D9"/>
                <w:sz w:val="20"/>
                <w:szCs w:val="20"/>
              </w:rPr>
              <w:t>11 357</w:t>
            </w:r>
          </w:p>
        </w:tc>
        <w:tc>
          <w:tcPr>
            <w:tcW w:w="1512" w:type="dxa"/>
            <w:shd w:val="clear" w:color="auto" w:fill="auto"/>
            <w:vAlign w:val="center"/>
          </w:tcPr>
          <w:p w14:paraId="53BF9AB4" w14:textId="77777777" w:rsidR="00A461C6" w:rsidRPr="0051047E" w:rsidRDefault="00A461C6" w:rsidP="002D4074">
            <w:pPr>
              <w:spacing w:after="0" w:line="240" w:lineRule="auto"/>
              <w:jc w:val="right"/>
              <w:rPr>
                <w:rFonts w:ascii="Arial" w:hAnsi="Arial" w:cs="Arial"/>
                <w:color w:val="262626" w:themeColor="text1" w:themeTint="D9"/>
                <w:sz w:val="20"/>
                <w:szCs w:val="20"/>
              </w:rPr>
            </w:pPr>
            <w:r>
              <w:rPr>
                <w:rFonts w:ascii="Arial" w:hAnsi="Arial" w:cs="Arial"/>
                <w:color w:val="262626" w:themeColor="text1" w:themeTint="D9"/>
                <w:sz w:val="20"/>
                <w:szCs w:val="20"/>
              </w:rPr>
              <w:t>114%</w:t>
            </w:r>
          </w:p>
        </w:tc>
        <w:tc>
          <w:tcPr>
            <w:tcW w:w="5529" w:type="dxa"/>
            <w:shd w:val="clear" w:color="auto" w:fill="auto"/>
            <w:noWrap/>
            <w:vAlign w:val="bottom"/>
          </w:tcPr>
          <w:p w14:paraId="789EC7B3" w14:textId="77777777" w:rsidR="00A461C6" w:rsidRPr="0051047E" w:rsidRDefault="00A461C6" w:rsidP="002D4074">
            <w:pPr>
              <w:spacing w:after="0" w:line="240" w:lineRule="auto"/>
              <w:jc w:val="both"/>
              <w:rPr>
                <w:rFonts w:ascii="Arial" w:hAnsi="Arial" w:cs="Arial"/>
                <w:color w:val="262626" w:themeColor="text1" w:themeTint="D9"/>
                <w:sz w:val="20"/>
                <w:szCs w:val="20"/>
              </w:rPr>
            </w:pPr>
            <w:r w:rsidRPr="02031F28">
              <w:rPr>
                <w:rFonts w:ascii="Arial" w:hAnsi="Arial" w:cs="Arial"/>
                <w:color w:val="262626" w:themeColor="text1" w:themeTint="D9"/>
                <w:sz w:val="20"/>
                <w:szCs w:val="20"/>
              </w:rPr>
              <w:t xml:space="preserve">Deux produits principaux produits assuranciels ont et très attrayant pour notre groupe cible. Il s’agit de la micro-assurance agricole indicielle et de la prévoyance obsèques, ce qui a fait que la cible a été dépassé. Néanmoins deux autres (contrats </w:t>
            </w:r>
            <w:r w:rsidRPr="02031F28">
              <w:rPr>
                <w:rFonts w:ascii="Arial" w:eastAsia="Arial" w:hAnsi="Arial" w:cs="Arial"/>
                <w:color w:val="202124"/>
                <w:sz w:val="24"/>
                <w:szCs w:val="24"/>
              </w:rPr>
              <w:t>emprunteur décès et invalidité e</w:t>
            </w:r>
            <w:r w:rsidRPr="02031F28">
              <w:rPr>
                <w:rFonts w:ascii="Arial" w:eastAsia="Arial" w:hAnsi="Arial" w:cs="Arial"/>
                <w:sz w:val="24"/>
                <w:szCs w:val="24"/>
              </w:rPr>
              <w:t>t contrat incendie</w:t>
            </w:r>
            <w:r w:rsidRPr="02031F28">
              <w:rPr>
                <w:rFonts w:ascii="Arial" w:eastAsia="Arial" w:hAnsi="Arial" w:cs="Arial"/>
                <w:color w:val="202124"/>
                <w:sz w:val="24"/>
                <w:szCs w:val="24"/>
              </w:rPr>
              <w:t>s</w:t>
            </w:r>
            <w:r w:rsidRPr="02031F28">
              <w:rPr>
                <w:rFonts w:ascii="Arial" w:eastAsia="Arial" w:hAnsi="Arial" w:cs="Arial"/>
                <w:sz w:val="24"/>
                <w:szCs w:val="24"/>
              </w:rPr>
              <w:t xml:space="preserve"> stock &amp; </w:t>
            </w:r>
            <w:proofErr w:type="spellStart"/>
            <w:r w:rsidRPr="02031F28">
              <w:rPr>
                <w:rFonts w:ascii="Arial" w:eastAsia="Arial" w:hAnsi="Arial" w:cs="Arial"/>
                <w:sz w:val="24"/>
                <w:szCs w:val="24"/>
              </w:rPr>
              <w:t>d</w:t>
            </w:r>
            <w:r w:rsidRPr="02031F28">
              <w:rPr>
                <w:rFonts w:ascii="Arial" w:eastAsia="Arial" w:hAnsi="Arial" w:cs="Arial"/>
                <w:color w:val="202124"/>
                <w:sz w:val="24"/>
                <w:szCs w:val="24"/>
              </w:rPr>
              <w:t>e</w:t>
            </w:r>
            <w:r w:rsidRPr="02031F28">
              <w:rPr>
                <w:rFonts w:ascii="Arial" w:eastAsia="Arial" w:hAnsi="Arial" w:cs="Arial"/>
                <w:sz w:val="24"/>
                <w:szCs w:val="24"/>
              </w:rPr>
              <w:t>gat</w:t>
            </w:r>
            <w:proofErr w:type="spellEnd"/>
            <w:r w:rsidRPr="02031F28">
              <w:rPr>
                <w:rFonts w:ascii="Arial" w:eastAsia="Arial" w:hAnsi="Arial" w:cs="Arial"/>
                <w:sz w:val="24"/>
                <w:szCs w:val="24"/>
              </w:rPr>
              <w:t xml:space="preserve"> d</w:t>
            </w:r>
            <w:r w:rsidRPr="02031F28">
              <w:rPr>
                <w:rFonts w:ascii="Arial" w:eastAsia="Arial" w:hAnsi="Arial" w:cs="Arial"/>
                <w:color w:val="202124"/>
                <w:sz w:val="24"/>
                <w:szCs w:val="24"/>
              </w:rPr>
              <w:t>e</w:t>
            </w:r>
            <w:r w:rsidRPr="02031F28">
              <w:rPr>
                <w:rFonts w:ascii="Arial" w:eastAsia="Arial" w:hAnsi="Arial" w:cs="Arial"/>
                <w:sz w:val="24"/>
                <w:szCs w:val="24"/>
              </w:rPr>
              <w:t xml:space="preserve">s </w:t>
            </w:r>
            <w:proofErr w:type="spellStart"/>
            <w:r w:rsidRPr="02031F28">
              <w:rPr>
                <w:rFonts w:ascii="Arial" w:eastAsia="Arial" w:hAnsi="Arial" w:cs="Arial"/>
                <w:color w:val="202124"/>
                <w:sz w:val="24"/>
                <w:szCs w:val="24"/>
              </w:rPr>
              <w:t>e</w:t>
            </w:r>
            <w:r w:rsidRPr="02031F28">
              <w:rPr>
                <w:rFonts w:ascii="Arial" w:eastAsia="Arial" w:hAnsi="Arial" w:cs="Arial"/>
                <w:sz w:val="24"/>
                <w:szCs w:val="24"/>
              </w:rPr>
              <w:t xml:space="preserve"> aux</w:t>
            </w:r>
            <w:proofErr w:type="spellEnd"/>
            <w:r w:rsidRPr="02031F28">
              <w:rPr>
                <w:rFonts w:ascii="Arial" w:eastAsia="Arial" w:hAnsi="Arial" w:cs="Arial"/>
                <w:sz w:val="24"/>
                <w:szCs w:val="24"/>
              </w:rPr>
              <w:t xml:space="preserve">) </w:t>
            </w:r>
            <w:r w:rsidRPr="02031F28">
              <w:rPr>
                <w:rFonts w:ascii="Arial" w:hAnsi="Arial" w:cs="Arial"/>
                <w:color w:val="262626" w:themeColor="text1" w:themeTint="D9"/>
                <w:sz w:val="20"/>
                <w:szCs w:val="20"/>
              </w:rPr>
              <w:t>ont rencontré des défis de résistance et les partenaires voulaient continuer à travailler dans la routine. Ainsi, BICOR AG a pu atteindre 4 coopératives.</w:t>
            </w:r>
          </w:p>
        </w:tc>
      </w:tr>
      <w:tr w:rsidR="00A461C6" w:rsidRPr="00D54936" w14:paraId="30D0F5C5" w14:textId="77777777" w:rsidTr="002D4074">
        <w:trPr>
          <w:trHeight w:val="618"/>
        </w:trPr>
        <w:tc>
          <w:tcPr>
            <w:tcW w:w="1756" w:type="dxa"/>
            <w:vMerge/>
            <w:vAlign w:val="center"/>
            <w:hideMark/>
          </w:tcPr>
          <w:p w14:paraId="47329DAA" w14:textId="77777777" w:rsidR="00A461C6" w:rsidRPr="0051047E" w:rsidRDefault="00A461C6" w:rsidP="002D4074">
            <w:pPr>
              <w:spacing w:after="0" w:line="240" w:lineRule="auto"/>
              <w:rPr>
                <w:rFonts w:ascii="Arial" w:hAnsi="Arial" w:cs="Arial"/>
                <w:color w:val="262626" w:themeColor="text1" w:themeTint="D9"/>
                <w:sz w:val="20"/>
                <w:szCs w:val="20"/>
              </w:rPr>
            </w:pPr>
          </w:p>
        </w:tc>
        <w:tc>
          <w:tcPr>
            <w:tcW w:w="2193" w:type="dxa"/>
            <w:shd w:val="clear" w:color="auto" w:fill="auto"/>
            <w:vAlign w:val="center"/>
            <w:hideMark/>
          </w:tcPr>
          <w:p w14:paraId="7BD76463" w14:textId="77777777" w:rsidR="00A461C6" w:rsidRPr="0051047E" w:rsidRDefault="00A461C6" w:rsidP="002D4074">
            <w:pPr>
              <w:spacing w:after="0" w:line="240" w:lineRule="auto"/>
              <w:rPr>
                <w:rFonts w:ascii="Arial" w:hAnsi="Arial" w:cs="Arial"/>
                <w:color w:val="262626" w:themeColor="text1" w:themeTint="D9"/>
                <w:sz w:val="20"/>
                <w:szCs w:val="20"/>
              </w:rPr>
            </w:pPr>
            <w:r w:rsidRPr="0051047E">
              <w:rPr>
                <w:rFonts w:ascii="Arial" w:hAnsi="Arial" w:cs="Arial"/>
                <w:color w:val="262626" w:themeColor="text1" w:themeTint="D9"/>
                <w:sz w:val="20"/>
                <w:szCs w:val="20"/>
                <w:lang w:val="fr-LU"/>
              </w:rPr>
              <w:t xml:space="preserve">Nbre de compagnies d'assurance appuyées par le projet </w:t>
            </w:r>
          </w:p>
        </w:tc>
        <w:tc>
          <w:tcPr>
            <w:tcW w:w="1620" w:type="dxa"/>
            <w:shd w:val="clear" w:color="auto" w:fill="auto"/>
            <w:vAlign w:val="center"/>
            <w:hideMark/>
          </w:tcPr>
          <w:p w14:paraId="11331DCF" w14:textId="77777777" w:rsidR="00A461C6" w:rsidRPr="0051047E" w:rsidRDefault="00A461C6" w:rsidP="002D4074">
            <w:pPr>
              <w:spacing w:after="0" w:line="240" w:lineRule="auto"/>
              <w:jc w:val="right"/>
              <w:rPr>
                <w:rFonts w:ascii="Arial" w:hAnsi="Arial" w:cs="Arial"/>
                <w:color w:val="262626" w:themeColor="text1" w:themeTint="D9"/>
                <w:sz w:val="20"/>
                <w:szCs w:val="20"/>
              </w:rPr>
            </w:pPr>
            <w:r w:rsidRPr="0051047E">
              <w:rPr>
                <w:rFonts w:ascii="Arial" w:hAnsi="Arial" w:cs="Arial"/>
                <w:color w:val="262626" w:themeColor="text1" w:themeTint="D9"/>
                <w:sz w:val="20"/>
                <w:szCs w:val="20"/>
                <w:lang w:val="fr-LU"/>
              </w:rPr>
              <w:t>2</w:t>
            </w:r>
          </w:p>
        </w:tc>
        <w:tc>
          <w:tcPr>
            <w:tcW w:w="1530" w:type="dxa"/>
            <w:shd w:val="clear" w:color="auto" w:fill="auto"/>
            <w:vAlign w:val="center"/>
          </w:tcPr>
          <w:p w14:paraId="710B3AC7" w14:textId="77777777" w:rsidR="00A461C6" w:rsidRPr="0051047E" w:rsidRDefault="00A461C6" w:rsidP="002D4074">
            <w:pPr>
              <w:spacing w:after="0" w:line="240" w:lineRule="auto"/>
              <w:jc w:val="right"/>
              <w:rPr>
                <w:rFonts w:ascii="Arial" w:hAnsi="Arial" w:cs="Arial"/>
                <w:color w:val="262626" w:themeColor="text1" w:themeTint="D9"/>
                <w:sz w:val="20"/>
                <w:szCs w:val="20"/>
              </w:rPr>
            </w:pPr>
            <w:r>
              <w:rPr>
                <w:rFonts w:ascii="Arial" w:hAnsi="Arial" w:cs="Arial"/>
                <w:color w:val="262626" w:themeColor="text1" w:themeTint="D9"/>
                <w:sz w:val="20"/>
                <w:szCs w:val="20"/>
              </w:rPr>
              <w:t>2</w:t>
            </w:r>
          </w:p>
        </w:tc>
        <w:tc>
          <w:tcPr>
            <w:tcW w:w="1170" w:type="dxa"/>
            <w:shd w:val="clear" w:color="auto" w:fill="auto"/>
            <w:vAlign w:val="center"/>
          </w:tcPr>
          <w:p w14:paraId="56DAE76B" w14:textId="77777777" w:rsidR="00A461C6" w:rsidRPr="0051047E" w:rsidRDefault="00A461C6" w:rsidP="002D4074">
            <w:pPr>
              <w:spacing w:after="0" w:line="240" w:lineRule="auto"/>
              <w:jc w:val="right"/>
              <w:rPr>
                <w:rFonts w:ascii="Arial" w:hAnsi="Arial" w:cs="Arial"/>
                <w:color w:val="262626" w:themeColor="text1" w:themeTint="D9"/>
                <w:sz w:val="20"/>
                <w:szCs w:val="20"/>
              </w:rPr>
            </w:pPr>
            <w:r w:rsidRPr="0051047E">
              <w:rPr>
                <w:rFonts w:ascii="Arial" w:hAnsi="Arial" w:cs="Arial"/>
                <w:color w:val="262626" w:themeColor="text1" w:themeTint="D9"/>
                <w:sz w:val="20"/>
                <w:szCs w:val="20"/>
              </w:rPr>
              <w:t>3</w:t>
            </w:r>
          </w:p>
        </w:tc>
        <w:tc>
          <w:tcPr>
            <w:tcW w:w="1512" w:type="dxa"/>
            <w:shd w:val="clear" w:color="auto" w:fill="auto"/>
            <w:vAlign w:val="center"/>
          </w:tcPr>
          <w:p w14:paraId="26ECC8EB" w14:textId="77777777" w:rsidR="00A461C6" w:rsidRPr="0051047E" w:rsidRDefault="00A461C6" w:rsidP="002D4074">
            <w:pPr>
              <w:spacing w:after="0" w:line="240" w:lineRule="auto"/>
              <w:jc w:val="right"/>
              <w:rPr>
                <w:rFonts w:ascii="Arial" w:hAnsi="Arial" w:cs="Arial"/>
                <w:color w:val="262626" w:themeColor="text1" w:themeTint="D9"/>
                <w:sz w:val="20"/>
                <w:szCs w:val="20"/>
              </w:rPr>
            </w:pPr>
            <w:r>
              <w:rPr>
                <w:rFonts w:ascii="Arial" w:hAnsi="Arial" w:cs="Arial"/>
                <w:color w:val="262626" w:themeColor="text1" w:themeTint="D9"/>
                <w:sz w:val="20"/>
                <w:szCs w:val="20"/>
              </w:rPr>
              <w:t>150%</w:t>
            </w:r>
          </w:p>
        </w:tc>
        <w:tc>
          <w:tcPr>
            <w:tcW w:w="5529" w:type="dxa"/>
            <w:shd w:val="clear" w:color="auto" w:fill="auto"/>
            <w:noWrap/>
            <w:vAlign w:val="bottom"/>
          </w:tcPr>
          <w:p w14:paraId="64E49910" w14:textId="77777777" w:rsidR="00A461C6" w:rsidRPr="0051047E" w:rsidRDefault="00A461C6" w:rsidP="002D4074">
            <w:pPr>
              <w:spacing w:after="0" w:line="240" w:lineRule="auto"/>
              <w:jc w:val="both"/>
            </w:pPr>
            <w:r w:rsidRPr="50CCE921">
              <w:rPr>
                <w:rFonts w:ascii="Arial" w:hAnsi="Arial" w:cs="Arial"/>
                <w:color w:val="262626" w:themeColor="text1" w:themeTint="D9"/>
                <w:sz w:val="20"/>
                <w:szCs w:val="20"/>
              </w:rPr>
              <w:t>Il s’agit de SOCAR Vie, BICOR A.G et ISECOM. Ils ont mis en œuvre les cinq produits proposés par PADFIR</w:t>
            </w:r>
            <w:r>
              <w:rPr>
                <w:rFonts w:ascii="Arial" w:hAnsi="Arial" w:cs="Arial"/>
                <w:color w:val="262626" w:themeColor="text1" w:themeTint="D9"/>
                <w:sz w:val="20"/>
                <w:szCs w:val="20"/>
              </w:rPr>
              <w:t>.</w:t>
            </w:r>
            <w:r w:rsidRPr="50CCE921">
              <w:rPr>
                <w:rFonts w:ascii="Arial" w:hAnsi="Arial" w:cs="Arial"/>
                <w:color w:val="262626" w:themeColor="text1" w:themeTint="D9"/>
                <w:sz w:val="20"/>
                <w:szCs w:val="20"/>
              </w:rPr>
              <w:t xml:space="preserve"> </w:t>
            </w:r>
          </w:p>
        </w:tc>
      </w:tr>
      <w:tr w:rsidR="00A461C6" w:rsidRPr="00D54936" w14:paraId="0FB3A464" w14:textId="77777777" w:rsidTr="002D4074">
        <w:trPr>
          <w:trHeight w:val="618"/>
        </w:trPr>
        <w:tc>
          <w:tcPr>
            <w:tcW w:w="1756" w:type="dxa"/>
            <w:vMerge/>
            <w:vAlign w:val="center"/>
            <w:hideMark/>
          </w:tcPr>
          <w:p w14:paraId="5B71632D" w14:textId="77777777" w:rsidR="00A461C6" w:rsidRPr="0051047E" w:rsidRDefault="00A461C6" w:rsidP="002D4074">
            <w:pPr>
              <w:spacing w:after="0" w:line="240" w:lineRule="auto"/>
              <w:rPr>
                <w:rFonts w:ascii="Arial" w:hAnsi="Arial" w:cs="Arial"/>
                <w:color w:val="262626" w:themeColor="text1" w:themeTint="D9"/>
                <w:sz w:val="20"/>
                <w:szCs w:val="20"/>
              </w:rPr>
            </w:pPr>
          </w:p>
        </w:tc>
        <w:tc>
          <w:tcPr>
            <w:tcW w:w="2193" w:type="dxa"/>
            <w:shd w:val="clear" w:color="auto" w:fill="auto"/>
            <w:vAlign w:val="center"/>
            <w:hideMark/>
          </w:tcPr>
          <w:p w14:paraId="27F6A2AB" w14:textId="77777777" w:rsidR="00A461C6" w:rsidRPr="0051047E" w:rsidRDefault="00A461C6" w:rsidP="002D4074">
            <w:pPr>
              <w:spacing w:after="0" w:line="240" w:lineRule="auto"/>
              <w:rPr>
                <w:rFonts w:ascii="Arial" w:hAnsi="Arial" w:cs="Arial"/>
                <w:color w:val="262626" w:themeColor="text1" w:themeTint="D9"/>
                <w:sz w:val="20"/>
                <w:szCs w:val="20"/>
              </w:rPr>
            </w:pPr>
            <w:r w:rsidRPr="0051047E">
              <w:rPr>
                <w:rFonts w:ascii="Arial" w:hAnsi="Arial" w:cs="Arial"/>
                <w:color w:val="262626" w:themeColor="text1" w:themeTint="D9"/>
                <w:sz w:val="20"/>
                <w:szCs w:val="20"/>
                <w:lang w:val="fr-LU"/>
              </w:rPr>
              <w:t xml:space="preserve">Nbre de produits de micro-assurance développés et testés </w:t>
            </w:r>
          </w:p>
        </w:tc>
        <w:tc>
          <w:tcPr>
            <w:tcW w:w="1620" w:type="dxa"/>
            <w:shd w:val="clear" w:color="auto" w:fill="auto"/>
            <w:vAlign w:val="center"/>
            <w:hideMark/>
          </w:tcPr>
          <w:p w14:paraId="3BCB547C" w14:textId="77777777" w:rsidR="00A461C6" w:rsidRPr="0051047E" w:rsidRDefault="00A461C6" w:rsidP="002D4074">
            <w:pPr>
              <w:spacing w:after="0" w:line="240" w:lineRule="auto"/>
              <w:jc w:val="right"/>
              <w:rPr>
                <w:rFonts w:ascii="Arial" w:hAnsi="Arial" w:cs="Arial"/>
                <w:color w:val="262626" w:themeColor="text1" w:themeTint="D9"/>
                <w:sz w:val="20"/>
                <w:szCs w:val="20"/>
              </w:rPr>
            </w:pPr>
            <w:r w:rsidRPr="0051047E">
              <w:rPr>
                <w:rFonts w:ascii="Arial" w:hAnsi="Arial" w:cs="Arial"/>
                <w:color w:val="262626" w:themeColor="text1" w:themeTint="D9"/>
                <w:sz w:val="20"/>
                <w:szCs w:val="20"/>
                <w:lang w:val="fr-LU"/>
              </w:rPr>
              <w:t>2</w:t>
            </w:r>
          </w:p>
        </w:tc>
        <w:tc>
          <w:tcPr>
            <w:tcW w:w="1530" w:type="dxa"/>
            <w:shd w:val="clear" w:color="auto" w:fill="auto"/>
            <w:vAlign w:val="center"/>
          </w:tcPr>
          <w:p w14:paraId="0274F523" w14:textId="77777777" w:rsidR="00A461C6" w:rsidRPr="0051047E" w:rsidRDefault="00A461C6" w:rsidP="002D4074">
            <w:pPr>
              <w:spacing w:after="0" w:line="240" w:lineRule="auto"/>
              <w:jc w:val="right"/>
              <w:rPr>
                <w:rFonts w:ascii="Arial" w:hAnsi="Arial" w:cs="Arial"/>
                <w:color w:val="262626" w:themeColor="text1" w:themeTint="D9"/>
                <w:sz w:val="20"/>
                <w:szCs w:val="20"/>
              </w:rPr>
            </w:pPr>
            <w:r>
              <w:rPr>
                <w:rFonts w:ascii="Arial" w:hAnsi="Arial" w:cs="Arial"/>
                <w:color w:val="262626" w:themeColor="text1" w:themeTint="D9"/>
                <w:sz w:val="20"/>
                <w:szCs w:val="20"/>
              </w:rPr>
              <w:t>2</w:t>
            </w:r>
          </w:p>
        </w:tc>
        <w:tc>
          <w:tcPr>
            <w:tcW w:w="1170" w:type="dxa"/>
            <w:shd w:val="clear" w:color="auto" w:fill="auto"/>
            <w:vAlign w:val="center"/>
          </w:tcPr>
          <w:p w14:paraId="5BECFC41" w14:textId="77777777" w:rsidR="00A461C6" w:rsidRPr="0051047E" w:rsidRDefault="00A461C6" w:rsidP="002D4074">
            <w:pPr>
              <w:spacing w:after="0" w:line="240" w:lineRule="auto"/>
              <w:jc w:val="right"/>
              <w:rPr>
                <w:rFonts w:ascii="Arial" w:hAnsi="Arial" w:cs="Arial"/>
                <w:color w:val="262626" w:themeColor="text1" w:themeTint="D9"/>
                <w:sz w:val="20"/>
                <w:szCs w:val="20"/>
              </w:rPr>
            </w:pPr>
            <w:r w:rsidRPr="0051047E">
              <w:rPr>
                <w:rFonts w:ascii="Arial" w:hAnsi="Arial" w:cs="Arial"/>
                <w:color w:val="262626" w:themeColor="text1" w:themeTint="D9"/>
                <w:sz w:val="20"/>
                <w:szCs w:val="20"/>
              </w:rPr>
              <w:t>5</w:t>
            </w:r>
          </w:p>
        </w:tc>
        <w:tc>
          <w:tcPr>
            <w:tcW w:w="1512" w:type="dxa"/>
            <w:shd w:val="clear" w:color="auto" w:fill="auto"/>
            <w:vAlign w:val="center"/>
          </w:tcPr>
          <w:p w14:paraId="2D9640D4" w14:textId="77777777" w:rsidR="00A461C6" w:rsidRPr="0051047E" w:rsidRDefault="00A461C6" w:rsidP="002D4074">
            <w:pPr>
              <w:spacing w:after="0" w:line="240" w:lineRule="auto"/>
              <w:jc w:val="right"/>
              <w:rPr>
                <w:rFonts w:ascii="Arial" w:hAnsi="Arial" w:cs="Arial"/>
                <w:color w:val="262626" w:themeColor="text1" w:themeTint="D9"/>
                <w:sz w:val="20"/>
                <w:szCs w:val="20"/>
              </w:rPr>
            </w:pPr>
            <w:r>
              <w:rPr>
                <w:rFonts w:ascii="Arial" w:hAnsi="Arial" w:cs="Arial"/>
                <w:color w:val="262626" w:themeColor="text1" w:themeTint="D9"/>
                <w:sz w:val="20"/>
                <w:szCs w:val="20"/>
              </w:rPr>
              <w:t>250%</w:t>
            </w:r>
          </w:p>
        </w:tc>
        <w:tc>
          <w:tcPr>
            <w:tcW w:w="5529" w:type="dxa"/>
            <w:shd w:val="clear" w:color="auto" w:fill="auto"/>
            <w:noWrap/>
            <w:vAlign w:val="bottom"/>
          </w:tcPr>
          <w:p w14:paraId="7841CF1E" w14:textId="77777777" w:rsidR="00A461C6" w:rsidRPr="0051047E" w:rsidRDefault="00A461C6" w:rsidP="002D4074">
            <w:pPr>
              <w:spacing w:after="0" w:line="240" w:lineRule="auto"/>
              <w:jc w:val="both"/>
              <w:rPr>
                <w:rFonts w:ascii="Arial" w:hAnsi="Arial" w:cs="Arial"/>
                <w:color w:val="262626" w:themeColor="text1" w:themeTint="D9"/>
                <w:sz w:val="20"/>
                <w:szCs w:val="20"/>
              </w:rPr>
            </w:pPr>
            <w:r>
              <w:rPr>
                <w:rFonts w:ascii="Arial" w:hAnsi="Arial" w:cs="Arial"/>
                <w:color w:val="262626" w:themeColor="text1" w:themeTint="D9"/>
                <w:sz w:val="20"/>
                <w:szCs w:val="20"/>
              </w:rPr>
              <w:t>Il s’agit de : contrat emprunteur, prévoyance obsèques, stock incendie et dégâts des eaux, micro-assurance agricole indicielle, micro-assurance santé.</w:t>
            </w:r>
          </w:p>
        </w:tc>
      </w:tr>
      <w:tr w:rsidR="00A461C6" w:rsidRPr="00D54936" w14:paraId="23C1F7AA" w14:textId="77777777" w:rsidTr="002D4074">
        <w:trPr>
          <w:trHeight w:val="1031"/>
        </w:trPr>
        <w:tc>
          <w:tcPr>
            <w:tcW w:w="1756" w:type="dxa"/>
            <w:shd w:val="clear" w:color="auto" w:fill="auto"/>
            <w:vAlign w:val="center"/>
            <w:hideMark/>
          </w:tcPr>
          <w:p w14:paraId="79B658C8" w14:textId="77777777" w:rsidR="00A461C6" w:rsidRPr="0051047E" w:rsidRDefault="00A461C6" w:rsidP="002D4074">
            <w:pPr>
              <w:spacing w:after="0" w:line="240" w:lineRule="auto"/>
              <w:rPr>
                <w:rFonts w:ascii="Arial" w:hAnsi="Arial" w:cs="Arial"/>
                <w:color w:val="262626" w:themeColor="text1" w:themeTint="D9"/>
                <w:sz w:val="20"/>
                <w:szCs w:val="20"/>
              </w:rPr>
            </w:pPr>
            <w:r w:rsidRPr="0051047E">
              <w:rPr>
                <w:rFonts w:ascii="Arial" w:hAnsi="Arial" w:cs="Arial"/>
                <w:color w:val="262626" w:themeColor="text1" w:themeTint="D9"/>
                <w:sz w:val="20"/>
                <w:szCs w:val="20"/>
              </w:rPr>
              <w:t>RI400. Participation accrue des acteurs institutionnels aux efforts d’inclusion financière rurale</w:t>
            </w:r>
          </w:p>
        </w:tc>
        <w:tc>
          <w:tcPr>
            <w:tcW w:w="2193" w:type="dxa"/>
            <w:shd w:val="clear" w:color="auto" w:fill="auto"/>
            <w:vAlign w:val="center"/>
            <w:hideMark/>
          </w:tcPr>
          <w:p w14:paraId="6378E34B" w14:textId="77777777" w:rsidR="00A461C6" w:rsidRPr="0051047E" w:rsidRDefault="00A461C6" w:rsidP="002D4074">
            <w:pPr>
              <w:spacing w:after="0" w:line="240" w:lineRule="auto"/>
              <w:rPr>
                <w:rFonts w:ascii="Arial" w:hAnsi="Arial" w:cs="Arial"/>
                <w:color w:val="262626" w:themeColor="text1" w:themeTint="D9"/>
                <w:sz w:val="20"/>
                <w:szCs w:val="20"/>
              </w:rPr>
            </w:pPr>
            <w:r w:rsidRPr="0051047E">
              <w:rPr>
                <w:rFonts w:ascii="Arial" w:hAnsi="Arial" w:cs="Arial"/>
                <w:color w:val="262626" w:themeColor="text1" w:themeTint="D9"/>
                <w:sz w:val="20"/>
                <w:szCs w:val="20"/>
                <w:lang w:val="fr-LU"/>
              </w:rPr>
              <w:t># MPER ouvrent un compte dans une IMF et accèdent au crédit</w:t>
            </w:r>
          </w:p>
        </w:tc>
        <w:tc>
          <w:tcPr>
            <w:tcW w:w="1620" w:type="dxa"/>
            <w:shd w:val="clear" w:color="auto" w:fill="auto"/>
            <w:vAlign w:val="center"/>
            <w:hideMark/>
          </w:tcPr>
          <w:p w14:paraId="2FB4B127" w14:textId="77777777" w:rsidR="00A461C6" w:rsidRPr="0051047E" w:rsidRDefault="00A461C6" w:rsidP="002D4074">
            <w:pPr>
              <w:spacing w:after="0" w:line="240" w:lineRule="auto"/>
              <w:jc w:val="right"/>
              <w:rPr>
                <w:rFonts w:ascii="Arial" w:hAnsi="Arial" w:cs="Arial"/>
                <w:color w:val="262626" w:themeColor="text1" w:themeTint="D9"/>
                <w:sz w:val="20"/>
                <w:szCs w:val="20"/>
              </w:rPr>
            </w:pPr>
            <w:r w:rsidRPr="0051047E">
              <w:rPr>
                <w:rFonts w:ascii="Arial" w:hAnsi="Arial" w:cs="Arial"/>
                <w:color w:val="262626" w:themeColor="text1" w:themeTint="D9"/>
                <w:sz w:val="20"/>
                <w:szCs w:val="20"/>
                <w:lang w:val="fr-LU"/>
              </w:rPr>
              <w:t>2</w:t>
            </w:r>
            <w:r>
              <w:rPr>
                <w:rFonts w:ascii="Arial" w:hAnsi="Arial" w:cs="Arial"/>
                <w:color w:val="262626" w:themeColor="text1" w:themeTint="D9"/>
                <w:sz w:val="20"/>
                <w:szCs w:val="20"/>
                <w:lang w:val="fr-LU"/>
              </w:rPr>
              <w:t xml:space="preserve"> </w:t>
            </w:r>
            <w:r w:rsidRPr="0051047E">
              <w:rPr>
                <w:rFonts w:ascii="Arial" w:hAnsi="Arial" w:cs="Arial"/>
                <w:color w:val="262626" w:themeColor="text1" w:themeTint="D9"/>
                <w:sz w:val="20"/>
                <w:szCs w:val="20"/>
                <w:lang w:val="fr-LU"/>
              </w:rPr>
              <w:t>000</w:t>
            </w:r>
          </w:p>
        </w:tc>
        <w:tc>
          <w:tcPr>
            <w:tcW w:w="1530" w:type="dxa"/>
            <w:shd w:val="clear" w:color="auto" w:fill="auto"/>
            <w:vAlign w:val="center"/>
          </w:tcPr>
          <w:p w14:paraId="41FCF724" w14:textId="77777777" w:rsidR="00A461C6" w:rsidRPr="0051047E" w:rsidRDefault="00A461C6" w:rsidP="002D4074">
            <w:pPr>
              <w:spacing w:after="0" w:line="240" w:lineRule="auto"/>
              <w:jc w:val="right"/>
              <w:rPr>
                <w:rFonts w:ascii="Arial" w:hAnsi="Arial" w:cs="Arial"/>
                <w:color w:val="262626" w:themeColor="text1" w:themeTint="D9"/>
                <w:sz w:val="20"/>
                <w:szCs w:val="20"/>
              </w:rPr>
            </w:pPr>
            <w:r w:rsidRPr="0051047E">
              <w:rPr>
                <w:rFonts w:ascii="Arial" w:hAnsi="Arial" w:cs="Arial"/>
                <w:color w:val="262626" w:themeColor="text1" w:themeTint="D9"/>
                <w:sz w:val="20"/>
                <w:szCs w:val="20"/>
              </w:rPr>
              <w:t>620</w:t>
            </w:r>
          </w:p>
        </w:tc>
        <w:tc>
          <w:tcPr>
            <w:tcW w:w="1170" w:type="dxa"/>
            <w:shd w:val="clear" w:color="auto" w:fill="auto"/>
            <w:vAlign w:val="center"/>
          </w:tcPr>
          <w:p w14:paraId="20A1EEFB" w14:textId="77777777" w:rsidR="00A461C6" w:rsidRPr="0051047E" w:rsidRDefault="00A461C6" w:rsidP="002D4074">
            <w:pPr>
              <w:spacing w:after="0" w:line="240" w:lineRule="auto"/>
              <w:jc w:val="right"/>
              <w:rPr>
                <w:rFonts w:ascii="Arial" w:hAnsi="Arial" w:cs="Arial"/>
                <w:color w:val="262626" w:themeColor="text1" w:themeTint="D9"/>
                <w:sz w:val="20"/>
                <w:szCs w:val="20"/>
              </w:rPr>
            </w:pPr>
            <w:r w:rsidRPr="0051047E">
              <w:rPr>
                <w:rFonts w:ascii="Arial" w:hAnsi="Arial" w:cs="Arial"/>
                <w:color w:val="262626" w:themeColor="text1" w:themeTint="D9"/>
                <w:sz w:val="20"/>
                <w:szCs w:val="20"/>
                <w:lang w:val="en-US"/>
              </w:rPr>
              <w:t>0</w:t>
            </w:r>
          </w:p>
        </w:tc>
        <w:tc>
          <w:tcPr>
            <w:tcW w:w="1512" w:type="dxa"/>
            <w:shd w:val="clear" w:color="auto" w:fill="auto"/>
            <w:vAlign w:val="center"/>
          </w:tcPr>
          <w:p w14:paraId="7F59D0EC" w14:textId="77777777" w:rsidR="00A461C6" w:rsidRPr="0051047E" w:rsidRDefault="00A461C6" w:rsidP="002D4074">
            <w:pPr>
              <w:spacing w:after="0" w:line="240" w:lineRule="auto"/>
              <w:jc w:val="right"/>
              <w:rPr>
                <w:rFonts w:ascii="Arial" w:hAnsi="Arial" w:cs="Arial"/>
                <w:color w:val="262626" w:themeColor="text1" w:themeTint="D9"/>
                <w:sz w:val="20"/>
                <w:szCs w:val="20"/>
              </w:rPr>
            </w:pPr>
            <w:r>
              <w:rPr>
                <w:rFonts w:ascii="Arial" w:hAnsi="Arial" w:cs="Arial"/>
                <w:color w:val="262626" w:themeColor="text1" w:themeTint="D9"/>
                <w:sz w:val="20"/>
                <w:szCs w:val="20"/>
              </w:rPr>
              <w:t>0%</w:t>
            </w:r>
          </w:p>
        </w:tc>
        <w:tc>
          <w:tcPr>
            <w:tcW w:w="5529" w:type="dxa"/>
            <w:shd w:val="clear" w:color="auto" w:fill="auto"/>
            <w:noWrap/>
            <w:vAlign w:val="bottom"/>
          </w:tcPr>
          <w:p w14:paraId="33B0E15A" w14:textId="77777777" w:rsidR="00A461C6" w:rsidRPr="0051047E" w:rsidRDefault="00A461C6" w:rsidP="002D4074">
            <w:pPr>
              <w:spacing w:after="0" w:line="240" w:lineRule="auto"/>
              <w:jc w:val="both"/>
              <w:rPr>
                <w:rFonts w:ascii="Arial" w:hAnsi="Arial" w:cs="Arial"/>
                <w:color w:val="262626" w:themeColor="text1" w:themeTint="D9"/>
                <w:sz w:val="20"/>
                <w:szCs w:val="20"/>
              </w:rPr>
            </w:pPr>
            <w:r w:rsidRPr="50CCE921">
              <w:rPr>
                <w:rFonts w:ascii="Arial" w:hAnsi="Arial" w:cs="Arial"/>
                <w:color w:val="262626" w:themeColor="text1" w:themeTint="D9"/>
                <w:sz w:val="20"/>
                <w:szCs w:val="20"/>
              </w:rPr>
              <w:t xml:space="preserve">En collaboration avec le RIM et SEP/CNPS, le projet s’est concentré sur le développement du module de formation sur l’éducation financière adaptée aux MPER, après la validation de ce module, nous avons organisé la formation des formateurs. Un pool de10 formateurs a été forme sur le module. 115 </w:t>
            </w:r>
            <w:r>
              <w:rPr>
                <w:rFonts w:ascii="Arial" w:hAnsi="Arial" w:cs="Arial"/>
                <w:color w:val="262626" w:themeColor="text1" w:themeTint="D9"/>
                <w:sz w:val="20"/>
                <w:szCs w:val="20"/>
              </w:rPr>
              <w:t>E</w:t>
            </w:r>
            <w:r w:rsidRPr="50CCE921">
              <w:rPr>
                <w:rFonts w:ascii="Arial" w:hAnsi="Arial" w:cs="Arial"/>
                <w:color w:val="262626" w:themeColor="text1" w:themeTint="D9"/>
                <w:sz w:val="20"/>
                <w:szCs w:val="20"/>
              </w:rPr>
              <w:t>ncadreurs ont été formes et 2</w:t>
            </w:r>
            <w:r>
              <w:rPr>
                <w:rFonts w:ascii="Arial" w:hAnsi="Arial" w:cs="Arial"/>
                <w:color w:val="262626" w:themeColor="text1" w:themeTint="D9"/>
                <w:sz w:val="20"/>
                <w:szCs w:val="20"/>
              </w:rPr>
              <w:t xml:space="preserve"> </w:t>
            </w:r>
            <w:r w:rsidRPr="50CCE921">
              <w:rPr>
                <w:rFonts w:ascii="Arial" w:hAnsi="Arial" w:cs="Arial"/>
                <w:color w:val="262626" w:themeColor="text1" w:themeTint="D9"/>
                <w:sz w:val="20"/>
                <w:szCs w:val="20"/>
              </w:rPr>
              <w:t>000</w:t>
            </w:r>
            <w:r>
              <w:rPr>
                <w:rFonts w:ascii="Arial" w:hAnsi="Arial" w:cs="Arial"/>
                <w:color w:val="262626" w:themeColor="text1" w:themeTint="D9"/>
                <w:sz w:val="20"/>
                <w:szCs w:val="20"/>
              </w:rPr>
              <w:t xml:space="preserve"> </w:t>
            </w:r>
            <w:r w:rsidRPr="50CCE921">
              <w:rPr>
                <w:rFonts w:ascii="Arial" w:hAnsi="Arial" w:cs="Arial"/>
                <w:color w:val="262626" w:themeColor="text1" w:themeTint="D9"/>
                <w:sz w:val="20"/>
                <w:szCs w:val="20"/>
              </w:rPr>
              <w:t>MPER sont déjà identifiés dans les différentes provinces</w:t>
            </w:r>
            <w:r>
              <w:rPr>
                <w:rFonts w:ascii="Arial" w:hAnsi="Arial" w:cs="Arial"/>
                <w:color w:val="262626" w:themeColor="text1" w:themeTint="D9"/>
                <w:sz w:val="20"/>
                <w:szCs w:val="20"/>
              </w:rPr>
              <w:t xml:space="preserve"> pour l’ouverture des comptes. </w:t>
            </w:r>
          </w:p>
        </w:tc>
      </w:tr>
    </w:tbl>
    <w:p w14:paraId="634119D8" w14:textId="4F9BC740" w:rsidR="00A461C6" w:rsidRPr="00A461C6" w:rsidRDefault="00A461C6" w:rsidP="00A461C6">
      <w:pPr>
        <w:spacing w:after="160" w:line="259" w:lineRule="auto"/>
        <w:rPr>
          <w:rFonts w:ascii="Arial" w:hAnsi="Arial" w:cs="Arial"/>
          <w:color w:val="262626" w:themeColor="text1" w:themeTint="D9"/>
          <w:sz w:val="20"/>
          <w:szCs w:val="20"/>
          <w:lang w:val="fr-LU"/>
        </w:rPr>
        <w:sectPr w:rsidR="00A461C6" w:rsidRPr="00A461C6" w:rsidSect="00A461C6">
          <w:pgSz w:w="16838" w:h="11906" w:orient="landscape"/>
          <w:pgMar w:top="1417" w:right="1417" w:bottom="1417" w:left="1417" w:header="720" w:footer="720" w:gutter="0"/>
          <w:cols w:space="720"/>
          <w:docGrid w:linePitch="360"/>
        </w:sectPr>
      </w:pPr>
      <w:r w:rsidRPr="02031F28">
        <w:rPr>
          <w:rFonts w:ascii="Arial" w:hAnsi="Arial" w:cs="Arial"/>
          <w:color w:val="262626" w:themeColor="text1" w:themeTint="D9"/>
          <w:sz w:val="20"/>
          <w:szCs w:val="20"/>
          <w:lang w:val="fr-LU"/>
        </w:rPr>
        <w:br w:type="page"/>
      </w:r>
    </w:p>
    <w:p w14:paraId="24B77188" w14:textId="77777777" w:rsidR="00826294" w:rsidRDefault="00826294" w:rsidP="00A461C6"/>
    <w:sectPr w:rsidR="0082629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1C6"/>
    <w:rsid w:val="001A5406"/>
    <w:rsid w:val="004B6E24"/>
    <w:rsid w:val="00826294"/>
    <w:rsid w:val="008A4437"/>
    <w:rsid w:val="00A461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D36CB"/>
  <w15:chartTrackingRefBased/>
  <w15:docId w15:val="{6F43A480-8615-4E0A-A688-DC48FDEAF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1C6"/>
    <w:pPr>
      <w:spacing w:after="200" w:line="276" w:lineRule="auto"/>
    </w:pPr>
    <w:rPr>
      <w:rFonts w:ascii="Calibri" w:eastAsia="Times New Roman" w:hAnsi="Calibri" w:cs="Times New Roman"/>
      <w:kern w:val="0"/>
      <w14:ligatures w14:val="none"/>
    </w:rPr>
  </w:style>
  <w:style w:type="paragraph" w:styleId="Heading1">
    <w:name w:val="heading 1"/>
    <w:basedOn w:val="Normal"/>
    <w:next w:val="Normal"/>
    <w:link w:val="Heading1Char"/>
    <w:uiPriority w:val="9"/>
    <w:qFormat/>
    <w:rsid w:val="00A461C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461C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461C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461C6"/>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461C6"/>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461C6"/>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461C6"/>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461C6"/>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461C6"/>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1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61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61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61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61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61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61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61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61C6"/>
    <w:rPr>
      <w:rFonts w:eastAsiaTheme="majorEastAsia" w:cstheme="majorBidi"/>
      <w:color w:val="272727" w:themeColor="text1" w:themeTint="D8"/>
    </w:rPr>
  </w:style>
  <w:style w:type="paragraph" w:styleId="Title">
    <w:name w:val="Title"/>
    <w:basedOn w:val="Normal"/>
    <w:next w:val="Normal"/>
    <w:link w:val="TitleChar"/>
    <w:uiPriority w:val="10"/>
    <w:qFormat/>
    <w:rsid w:val="00A461C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461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61C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461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61C6"/>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A461C6"/>
    <w:rPr>
      <w:i/>
      <w:iCs/>
      <w:color w:val="404040" w:themeColor="text1" w:themeTint="BF"/>
    </w:rPr>
  </w:style>
  <w:style w:type="paragraph" w:styleId="ListParagraph">
    <w:name w:val="List Paragraph"/>
    <w:basedOn w:val="Normal"/>
    <w:uiPriority w:val="34"/>
    <w:qFormat/>
    <w:rsid w:val="00A461C6"/>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A461C6"/>
    <w:rPr>
      <w:i/>
      <w:iCs/>
      <w:color w:val="0F4761" w:themeColor="accent1" w:themeShade="BF"/>
    </w:rPr>
  </w:style>
  <w:style w:type="paragraph" w:styleId="IntenseQuote">
    <w:name w:val="Intense Quote"/>
    <w:basedOn w:val="Normal"/>
    <w:next w:val="Normal"/>
    <w:link w:val="IntenseQuoteChar"/>
    <w:uiPriority w:val="30"/>
    <w:qFormat/>
    <w:rsid w:val="00A461C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461C6"/>
    <w:rPr>
      <w:i/>
      <w:iCs/>
      <w:color w:val="0F4761" w:themeColor="accent1" w:themeShade="BF"/>
    </w:rPr>
  </w:style>
  <w:style w:type="character" w:styleId="IntenseReference">
    <w:name w:val="Intense Reference"/>
    <w:basedOn w:val="DefaultParagraphFont"/>
    <w:uiPriority w:val="32"/>
    <w:qFormat/>
    <w:rsid w:val="00A461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934</Words>
  <Characters>5143</Characters>
  <Application>Microsoft Office Word</Application>
  <DocSecurity>0</DocSecurity>
  <Lines>42</Lines>
  <Paragraphs>12</Paragraphs>
  <ScaleCrop>false</ScaleCrop>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Marie Nsabiyumva</dc:creator>
  <cp:keywords/>
  <dc:description/>
  <cp:lastModifiedBy>Jean Marie Nsabiyumva</cp:lastModifiedBy>
  <cp:revision>1</cp:revision>
  <dcterms:created xsi:type="dcterms:W3CDTF">2024-06-25T11:30:00Z</dcterms:created>
  <dcterms:modified xsi:type="dcterms:W3CDTF">2024-06-25T11:35:00Z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1ec358-fa87-4620-aa98-db059b95b836_Enabled">
    <vt:lpwstr>true</vt:lpwstr>
  </property>
  <property fmtid="{D5CDD505-2E9C-101B-9397-08002B2CF9AE}" pid="3" name="MSIP_Label_501ec358-fa87-4620-aa98-db059b95b836_SetDate">
    <vt:lpwstr>2024-06-25T11:35:35Z</vt:lpwstr>
  </property>
  <property fmtid="{D5CDD505-2E9C-101B-9397-08002B2CF9AE}" pid="4" name="MSIP_Label_501ec358-fa87-4620-aa98-db059b95b836_Method">
    <vt:lpwstr>Standard</vt:lpwstr>
  </property>
  <property fmtid="{D5CDD505-2E9C-101B-9397-08002B2CF9AE}" pid="5" name="MSIP_Label_501ec358-fa87-4620-aa98-db059b95b836_Name">
    <vt:lpwstr>501ec358-fa87-4620-aa98-db059b95b836</vt:lpwstr>
  </property>
  <property fmtid="{D5CDD505-2E9C-101B-9397-08002B2CF9AE}" pid="6" name="MSIP_Label_501ec358-fa87-4620-aa98-db059b95b836_SiteId">
    <vt:lpwstr>8883c3f7-3467-4eca-bb61-e5aa9ef5ee43</vt:lpwstr>
  </property>
  <property fmtid="{D5CDD505-2E9C-101B-9397-08002B2CF9AE}" pid="7" name="MSIP_Label_501ec358-fa87-4620-aa98-db059b95b836_ActionId">
    <vt:lpwstr>d23cc566-a99e-4506-a467-322d880bc841</vt:lpwstr>
  </property>
  <property fmtid="{D5CDD505-2E9C-101B-9397-08002B2CF9AE}" pid="8" name="MSIP_Label_501ec358-fa87-4620-aa98-db059b95b836_ContentBits">
    <vt:lpwstr>0</vt:lpwstr>
  </property>
</Properties>
</file>